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44133">
      <w:pPr>
        <w:jc w:val="center"/>
        <w:rPr>
          <w:rStyle w:val="187"/>
          <w:rFonts w:hint="eastAsia"/>
          <w:color w:val="auto"/>
          <w:lang w:val="en-US" w:eastAsia="zh-CN"/>
        </w:rPr>
      </w:pPr>
      <w:bookmarkStart w:id="0" w:name="_Toc287620665"/>
    </w:p>
    <w:p w14:paraId="2D92FE10">
      <w:pPr>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lang w:val="en-US" w:eastAsia="zh-CN"/>
        </w:rPr>
        <w:t xml:space="preserve"> </w:t>
      </w:r>
    </w:p>
    <w:p w14:paraId="5A323B24">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lang w:val="en-US" w:eastAsia="zh-CN"/>
        </w:rPr>
        <w:t>广阳湾通江人才社区（一期）项目品牌设计及营销服务</w:t>
      </w:r>
      <w:r>
        <w:rPr>
          <w:rFonts w:hint="eastAsia" w:ascii="宋体" w:hAnsi="宋体"/>
          <w:color w:val="auto"/>
          <w:kern w:val="0"/>
          <w:sz w:val="32"/>
          <w:szCs w:val="32"/>
          <w:highlight w:val="none"/>
          <w:u w:val="single"/>
        </w:rPr>
        <w:t>（项目名称）</w:t>
      </w:r>
    </w:p>
    <w:p w14:paraId="27209344">
      <w:pPr>
        <w:autoSpaceDE w:val="0"/>
        <w:autoSpaceDN w:val="0"/>
        <w:adjustRightInd w:val="0"/>
        <w:snapToGrid w:val="0"/>
        <w:spacing w:line="360" w:lineRule="auto"/>
        <w:jc w:val="left"/>
        <w:rPr>
          <w:rFonts w:ascii="宋体" w:hAnsi="宋体"/>
          <w:color w:val="auto"/>
          <w:kern w:val="0"/>
          <w:sz w:val="20"/>
          <w:szCs w:val="20"/>
          <w:highlight w:val="none"/>
        </w:rPr>
      </w:pPr>
    </w:p>
    <w:p w14:paraId="5C7B3F09">
      <w:pPr>
        <w:autoSpaceDE w:val="0"/>
        <w:autoSpaceDN w:val="0"/>
        <w:adjustRightInd w:val="0"/>
        <w:snapToGrid w:val="0"/>
        <w:spacing w:line="360" w:lineRule="auto"/>
        <w:jc w:val="left"/>
        <w:rPr>
          <w:rFonts w:ascii="宋体" w:hAnsi="宋体"/>
          <w:color w:val="auto"/>
          <w:kern w:val="0"/>
          <w:sz w:val="20"/>
          <w:szCs w:val="20"/>
          <w:highlight w:val="none"/>
        </w:rPr>
      </w:pPr>
    </w:p>
    <w:p w14:paraId="41DA5FA4">
      <w:pPr>
        <w:autoSpaceDE w:val="0"/>
        <w:autoSpaceDN w:val="0"/>
        <w:adjustRightInd w:val="0"/>
        <w:snapToGrid w:val="0"/>
        <w:spacing w:line="360" w:lineRule="auto"/>
        <w:jc w:val="left"/>
        <w:rPr>
          <w:rFonts w:ascii="宋体" w:hAnsi="宋体"/>
          <w:color w:val="auto"/>
          <w:kern w:val="0"/>
          <w:sz w:val="20"/>
          <w:szCs w:val="20"/>
          <w:highlight w:val="none"/>
        </w:rPr>
      </w:pPr>
    </w:p>
    <w:p w14:paraId="3183F225">
      <w:pPr>
        <w:autoSpaceDE w:val="0"/>
        <w:autoSpaceDN w:val="0"/>
        <w:adjustRightInd w:val="0"/>
        <w:snapToGrid w:val="0"/>
        <w:spacing w:line="360" w:lineRule="auto"/>
        <w:jc w:val="left"/>
        <w:rPr>
          <w:rFonts w:ascii="宋体" w:hAnsi="宋体"/>
          <w:color w:val="auto"/>
          <w:kern w:val="0"/>
          <w:sz w:val="20"/>
          <w:szCs w:val="20"/>
          <w:highlight w:val="none"/>
        </w:rPr>
      </w:pPr>
    </w:p>
    <w:p w14:paraId="1B1593A5">
      <w:pPr>
        <w:autoSpaceDE w:val="0"/>
        <w:autoSpaceDN w:val="0"/>
        <w:adjustRightInd w:val="0"/>
        <w:snapToGrid w:val="0"/>
        <w:spacing w:line="360" w:lineRule="auto"/>
        <w:jc w:val="left"/>
        <w:rPr>
          <w:rFonts w:ascii="宋体" w:hAnsi="宋体"/>
          <w:color w:val="auto"/>
          <w:kern w:val="0"/>
          <w:sz w:val="20"/>
          <w:szCs w:val="20"/>
          <w:highlight w:val="none"/>
        </w:rPr>
      </w:pPr>
    </w:p>
    <w:p w14:paraId="5B8559B9">
      <w:pPr>
        <w:autoSpaceDE w:val="0"/>
        <w:autoSpaceDN w:val="0"/>
        <w:adjustRightInd w:val="0"/>
        <w:snapToGrid w:val="0"/>
        <w:spacing w:line="360" w:lineRule="auto"/>
        <w:jc w:val="left"/>
        <w:rPr>
          <w:rFonts w:ascii="宋体" w:hAnsi="宋体"/>
          <w:color w:val="auto"/>
          <w:kern w:val="0"/>
          <w:sz w:val="20"/>
          <w:szCs w:val="20"/>
          <w:highlight w:val="none"/>
        </w:rPr>
      </w:pPr>
    </w:p>
    <w:p w14:paraId="7C6E5B46">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文件</w:t>
      </w:r>
    </w:p>
    <w:p w14:paraId="70ED0881">
      <w:pPr>
        <w:autoSpaceDE w:val="0"/>
        <w:autoSpaceDN w:val="0"/>
        <w:adjustRightInd w:val="0"/>
        <w:snapToGrid w:val="0"/>
        <w:spacing w:line="360" w:lineRule="auto"/>
        <w:jc w:val="left"/>
        <w:rPr>
          <w:rFonts w:ascii="宋体" w:hAnsi="宋体"/>
          <w:color w:val="auto"/>
          <w:kern w:val="0"/>
          <w:sz w:val="10"/>
          <w:szCs w:val="10"/>
          <w:highlight w:val="none"/>
        </w:rPr>
      </w:pPr>
    </w:p>
    <w:p w14:paraId="0C97A06A">
      <w:pPr>
        <w:autoSpaceDE w:val="0"/>
        <w:autoSpaceDN w:val="0"/>
        <w:adjustRightInd w:val="0"/>
        <w:snapToGrid w:val="0"/>
        <w:spacing w:line="360" w:lineRule="auto"/>
        <w:jc w:val="left"/>
        <w:rPr>
          <w:rFonts w:ascii="宋体" w:hAnsi="宋体"/>
          <w:color w:val="auto"/>
          <w:kern w:val="0"/>
          <w:sz w:val="20"/>
          <w:szCs w:val="20"/>
          <w:highlight w:val="none"/>
        </w:rPr>
      </w:pPr>
    </w:p>
    <w:p w14:paraId="1143DAE1">
      <w:pPr>
        <w:autoSpaceDE w:val="0"/>
        <w:autoSpaceDN w:val="0"/>
        <w:adjustRightInd w:val="0"/>
        <w:snapToGrid w:val="0"/>
        <w:spacing w:line="360" w:lineRule="auto"/>
        <w:jc w:val="left"/>
        <w:rPr>
          <w:rFonts w:ascii="宋体" w:hAnsi="宋体"/>
          <w:color w:val="auto"/>
          <w:kern w:val="0"/>
          <w:sz w:val="20"/>
          <w:szCs w:val="20"/>
          <w:highlight w:val="none"/>
        </w:rPr>
      </w:pPr>
    </w:p>
    <w:p w14:paraId="19C08CBC">
      <w:pPr>
        <w:autoSpaceDE w:val="0"/>
        <w:autoSpaceDN w:val="0"/>
        <w:adjustRightInd w:val="0"/>
        <w:snapToGrid w:val="0"/>
        <w:spacing w:line="360" w:lineRule="auto"/>
        <w:jc w:val="left"/>
        <w:rPr>
          <w:rFonts w:ascii="宋体" w:hAnsi="宋体"/>
          <w:color w:val="auto"/>
          <w:kern w:val="0"/>
          <w:sz w:val="20"/>
          <w:szCs w:val="20"/>
          <w:highlight w:val="none"/>
        </w:rPr>
      </w:pPr>
    </w:p>
    <w:p w14:paraId="042B20E1">
      <w:pPr>
        <w:autoSpaceDE w:val="0"/>
        <w:autoSpaceDN w:val="0"/>
        <w:adjustRightInd w:val="0"/>
        <w:snapToGrid w:val="0"/>
        <w:spacing w:line="360" w:lineRule="auto"/>
        <w:jc w:val="left"/>
        <w:rPr>
          <w:rFonts w:ascii="宋体" w:hAnsi="宋体"/>
          <w:color w:val="auto"/>
          <w:kern w:val="0"/>
          <w:sz w:val="20"/>
          <w:szCs w:val="20"/>
          <w:highlight w:val="none"/>
        </w:rPr>
      </w:pPr>
    </w:p>
    <w:p w14:paraId="3498CB01">
      <w:pPr>
        <w:autoSpaceDE w:val="0"/>
        <w:autoSpaceDN w:val="0"/>
        <w:adjustRightInd w:val="0"/>
        <w:snapToGrid w:val="0"/>
        <w:spacing w:line="360" w:lineRule="auto"/>
        <w:jc w:val="left"/>
        <w:rPr>
          <w:rFonts w:ascii="宋体" w:hAnsi="宋体"/>
          <w:color w:val="auto"/>
          <w:kern w:val="0"/>
          <w:sz w:val="20"/>
          <w:szCs w:val="20"/>
          <w:highlight w:val="none"/>
        </w:rPr>
      </w:pPr>
    </w:p>
    <w:p w14:paraId="38E8E32E">
      <w:pPr>
        <w:autoSpaceDE w:val="0"/>
        <w:autoSpaceDN w:val="0"/>
        <w:adjustRightInd w:val="0"/>
        <w:snapToGrid w:val="0"/>
        <w:spacing w:line="360" w:lineRule="auto"/>
        <w:jc w:val="left"/>
        <w:rPr>
          <w:rFonts w:ascii="宋体" w:hAnsi="宋体"/>
          <w:color w:val="auto"/>
          <w:kern w:val="0"/>
          <w:sz w:val="20"/>
          <w:szCs w:val="20"/>
          <w:highlight w:val="none"/>
        </w:rPr>
      </w:pPr>
    </w:p>
    <w:p w14:paraId="3CA87EFF">
      <w:pPr>
        <w:autoSpaceDE w:val="0"/>
        <w:autoSpaceDN w:val="0"/>
        <w:adjustRightInd w:val="0"/>
        <w:snapToGrid w:val="0"/>
        <w:spacing w:line="360" w:lineRule="auto"/>
        <w:jc w:val="left"/>
        <w:rPr>
          <w:rFonts w:ascii="宋体" w:hAnsi="宋体"/>
          <w:color w:val="auto"/>
          <w:kern w:val="0"/>
          <w:sz w:val="20"/>
          <w:szCs w:val="20"/>
          <w:highlight w:val="none"/>
        </w:rPr>
      </w:pPr>
    </w:p>
    <w:p w14:paraId="50E84181">
      <w:pPr>
        <w:autoSpaceDE w:val="0"/>
        <w:autoSpaceDN w:val="0"/>
        <w:adjustRightInd w:val="0"/>
        <w:snapToGrid w:val="0"/>
        <w:spacing w:line="360" w:lineRule="auto"/>
        <w:rPr>
          <w:rFonts w:ascii="宋体" w:hAnsi="宋体"/>
          <w:color w:val="auto"/>
          <w:kern w:val="0"/>
          <w:sz w:val="20"/>
          <w:szCs w:val="20"/>
          <w:highlight w:val="none"/>
        </w:rPr>
      </w:pPr>
    </w:p>
    <w:p w14:paraId="56D77B20">
      <w:pPr>
        <w:autoSpaceDE w:val="0"/>
        <w:autoSpaceDN w:val="0"/>
        <w:adjustRightInd w:val="0"/>
        <w:snapToGrid w:val="0"/>
        <w:spacing w:line="360" w:lineRule="auto"/>
        <w:jc w:val="left"/>
        <w:rPr>
          <w:rFonts w:ascii="宋体" w:hAnsi="宋体"/>
          <w:color w:val="auto"/>
          <w:kern w:val="0"/>
          <w:sz w:val="20"/>
          <w:szCs w:val="20"/>
          <w:highlight w:val="none"/>
        </w:rPr>
      </w:pPr>
    </w:p>
    <w:p w14:paraId="7EBBCA82">
      <w:pPr>
        <w:autoSpaceDE w:val="0"/>
        <w:autoSpaceDN w:val="0"/>
        <w:adjustRightInd w:val="0"/>
        <w:snapToGrid w:val="0"/>
        <w:spacing w:line="360" w:lineRule="auto"/>
        <w:rPr>
          <w:rFonts w:ascii="宋体" w:hAnsi="宋体"/>
          <w:color w:val="auto"/>
          <w:kern w:val="0"/>
          <w:sz w:val="20"/>
          <w:szCs w:val="20"/>
          <w:highlight w:val="none"/>
        </w:rPr>
      </w:pPr>
    </w:p>
    <w:p w14:paraId="38AB2AA8">
      <w:pPr>
        <w:autoSpaceDE w:val="0"/>
        <w:autoSpaceDN w:val="0"/>
        <w:adjustRightInd w:val="0"/>
        <w:snapToGrid w:val="0"/>
        <w:spacing w:line="360" w:lineRule="auto"/>
        <w:rPr>
          <w:rFonts w:ascii="宋体" w:hAnsi="宋体"/>
          <w:color w:val="auto"/>
          <w:kern w:val="0"/>
          <w:sz w:val="20"/>
          <w:szCs w:val="20"/>
          <w:highlight w:val="none"/>
        </w:rPr>
      </w:pPr>
    </w:p>
    <w:p w14:paraId="7A354DC1">
      <w:pPr>
        <w:autoSpaceDE w:val="0"/>
        <w:autoSpaceDN w:val="0"/>
        <w:adjustRightInd w:val="0"/>
        <w:snapToGrid w:val="0"/>
        <w:spacing w:line="360" w:lineRule="auto"/>
        <w:rPr>
          <w:rFonts w:ascii="宋体" w:hAnsi="宋体"/>
          <w:color w:val="auto"/>
          <w:kern w:val="0"/>
          <w:sz w:val="20"/>
          <w:szCs w:val="20"/>
          <w:highlight w:val="none"/>
        </w:rPr>
      </w:pPr>
    </w:p>
    <w:p w14:paraId="7586E262">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eastAsia="宋体"/>
          <w:b/>
          <w:color w:val="auto"/>
          <w:spacing w:val="8"/>
          <w:kern w:val="0"/>
          <w:sz w:val="28"/>
          <w:szCs w:val="28"/>
          <w:highlight w:val="none"/>
          <w:lang w:val="en-US" w:eastAsia="zh-CN"/>
        </w:rPr>
        <w:t>比选</w:t>
      </w:r>
      <w:r>
        <w:rPr>
          <w:rFonts w:hint="eastAsia" w:ascii="宋体" w:hAnsi="宋体" w:eastAsia="宋体"/>
          <w:b/>
          <w:color w:val="auto"/>
          <w:spacing w:val="8"/>
          <w:kern w:val="0"/>
          <w:sz w:val="28"/>
          <w:szCs w:val="28"/>
          <w:highlight w:val="none"/>
          <w:lang w:eastAsia="zh-CN"/>
        </w:rPr>
        <w:t>人：</w:t>
      </w:r>
      <w:r>
        <w:rPr>
          <w:rFonts w:hint="eastAsia" w:ascii="宋体" w:hAnsi="宋体" w:eastAsia="宋体"/>
          <w:b/>
          <w:bCs/>
          <w:color w:val="auto"/>
          <w:kern w:val="0"/>
          <w:sz w:val="28"/>
          <w:szCs w:val="28"/>
          <w:highlight w:val="none"/>
          <w:u w:val="single"/>
          <w:lang w:val="en-US" w:eastAsia="zh-CN"/>
        </w:rPr>
        <w:t>重庆乾睿置业发展有限公司</w:t>
      </w:r>
      <w:r>
        <w:rPr>
          <w:rFonts w:ascii="宋体" w:hAnsi="宋体"/>
          <w:b/>
          <w:color w:val="auto"/>
          <w:w w:val="99"/>
          <w:kern w:val="0"/>
          <w:sz w:val="28"/>
          <w:szCs w:val="28"/>
          <w:highlight w:val="none"/>
        </w:rPr>
        <w:t>（</w:t>
      </w:r>
      <w:r>
        <w:rPr>
          <w:rFonts w:ascii="宋体" w:hAnsi="宋体" w:eastAsia="宋体"/>
          <w:b/>
          <w:color w:val="auto"/>
          <w:w w:val="99"/>
          <w:kern w:val="0"/>
          <w:sz w:val="28"/>
          <w:szCs w:val="28"/>
          <w:highlight w:val="none"/>
        </w:rPr>
        <w:t>盖单位法人章）</w:t>
      </w:r>
    </w:p>
    <w:p w14:paraId="14BDBBFD">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比选代理机构</w:t>
      </w:r>
      <w:r>
        <w:rPr>
          <w:rFonts w:ascii="宋体" w:hAnsi="宋体"/>
          <w:b/>
          <w:color w:val="auto"/>
          <w:spacing w:val="8"/>
          <w:kern w:val="0"/>
          <w:sz w:val="28"/>
          <w:szCs w:val="28"/>
          <w:highlight w:val="none"/>
        </w:rPr>
        <w:t>：</w:t>
      </w:r>
      <w:r>
        <w:rPr>
          <w:rFonts w:hint="eastAsia" w:ascii="宋体" w:hAnsi="宋体"/>
          <w:b/>
          <w:bCs/>
          <w:color w:val="auto"/>
          <w:kern w:val="0"/>
          <w:sz w:val="28"/>
          <w:szCs w:val="28"/>
          <w:highlight w:val="none"/>
          <w:u w:val="single"/>
          <w:lang w:val="en-US" w:eastAsia="zh-CN"/>
        </w:rPr>
        <w:t>天之瓴建设股份有限公司</w:t>
      </w:r>
      <w:r>
        <w:rPr>
          <w:rFonts w:ascii="宋体" w:hAnsi="宋体"/>
          <w:b/>
          <w:color w:val="auto"/>
          <w:w w:val="99"/>
          <w:kern w:val="0"/>
          <w:sz w:val="28"/>
          <w:szCs w:val="28"/>
          <w:highlight w:val="none"/>
        </w:rPr>
        <w:t>（盖单位法人章）</w:t>
      </w:r>
    </w:p>
    <w:p w14:paraId="25BE8732">
      <w:pPr>
        <w:autoSpaceDE w:val="0"/>
        <w:autoSpaceDN w:val="0"/>
        <w:adjustRightInd w:val="0"/>
        <w:snapToGrid w:val="0"/>
        <w:spacing w:line="360" w:lineRule="auto"/>
        <w:jc w:val="center"/>
        <w:rPr>
          <w:rFonts w:ascii="宋体" w:hAnsi="宋体"/>
          <w:b/>
          <w:color w:val="auto"/>
          <w:kern w:val="0"/>
          <w:sz w:val="20"/>
          <w:szCs w:val="20"/>
          <w:highlight w:val="none"/>
        </w:rPr>
      </w:pPr>
    </w:p>
    <w:p w14:paraId="43000FD2">
      <w:pPr>
        <w:autoSpaceDE w:val="0"/>
        <w:autoSpaceDN w:val="0"/>
        <w:adjustRightInd w:val="0"/>
        <w:snapToGrid w:val="0"/>
        <w:spacing w:line="360" w:lineRule="auto"/>
        <w:jc w:val="center"/>
        <w:rPr>
          <w:rFonts w:ascii="宋体" w:hAnsi="宋体"/>
          <w:b/>
          <w:color w:val="auto"/>
          <w:kern w:val="0"/>
          <w:sz w:val="28"/>
          <w:szCs w:val="28"/>
          <w:highlight w:val="none"/>
        </w:rPr>
      </w:pPr>
    </w:p>
    <w:p w14:paraId="03BE11F0">
      <w:pPr>
        <w:autoSpaceDE w:val="0"/>
        <w:autoSpaceDN w:val="0"/>
        <w:adjustRightInd w:val="0"/>
        <w:snapToGrid w:val="0"/>
        <w:spacing w:line="360" w:lineRule="auto"/>
        <w:jc w:val="center"/>
        <w:rPr>
          <w:rFonts w:ascii="宋体" w:hAnsi="宋体"/>
          <w:b/>
          <w:color w:val="auto"/>
          <w:kern w:val="0"/>
          <w:sz w:val="28"/>
          <w:szCs w:val="28"/>
          <w:highlight w:val="none"/>
        </w:rPr>
      </w:pPr>
    </w:p>
    <w:p w14:paraId="18D1EC11">
      <w:pPr>
        <w:autoSpaceDE w:val="0"/>
        <w:autoSpaceDN w:val="0"/>
        <w:adjustRightInd w:val="0"/>
        <w:snapToGrid w:val="0"/>
        <w:spacing w:line="360" w:lineRule="auto"/>
        <w:rPr>
          <w:rFonts w:ascii="宋体" w:hAnsi="宋体"/>
          <w:b/>
          <w:color w:val="auto"/>
          <w:kern w:val="0"/>
          <w:sz w:val="20"/>
          <w:szCs w:val="20"/>
          <w:highlight w:val="none"/>
        </w:rPr>
      </w:pPr>
    </w:p>
    <w:p w14:paraId="24D09C57">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536796736"/>
      <w:bookmarkStart w:id="3" w:name="_Toc536797277"/>
      <w:bookmarkStart w:id="4" w:name="_Toc13210649"/>
      <w:bookmarkStart w:id="5" w:name="_Toc509218549"/>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2</w:t>
      </w:r>
      <w:r>
        <w:rPr>
          <w:rFonts w:ascii="宋体" w:hAnsi="宋体"/>
          <w:b/>
          <w:color w:val="auto"/>
          <w:spacing w:val="8"/>
          <w:kern w:val="0"/>
          <w:sz w:val="28"/>
          <w:szCs w:val="28"/>
          <w:highlight w:val="none"/>
        </w:rPr>
        <w:t>月</w:t>
      </w:r>
      <w:bookmarkEnd w:id="1"/>
      <w:bookmarkEnd w:id="2"/>
      <w:bookmarkEnd w:id="3"/>
      <w:bookmarkEnd w:id="4"/>
      <w:bookmarkEnd w:id="5"/>
    </w:p>
    <w:p w14:paraId="21DCC7EE">
      <w:pPr>
        <w:pStyle w:val="4"/>
        <w:spacing w:line="360" w:lineRule="auto"/>
        <w:jc w:val="center"/>
        <w:rPr>
          <w:rFonts w:ascii="宋体" w:hAnsi="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23DAEC56">
      <w:pPr>
        <w:pStyle w:val="121"/>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15C24B9C">
      <w:pPr>
        <w:pStyle w:val="33"/>
        <w:tabs>
          <w:tab w:val="right" w:leader="dot" w:pos="9469"/>
        </w:tabs>
        <w:rPr>
          <w:color w:val="auto"/>
          <w:sz w:val="28"/>
          <w:szCs w:val="28"/>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p>
    <w:p w14:paraId="4F4B1B4E">
      <w:pPr>
        <w:pStyle w:val="33"/>
        <w:tabs>
          <w:tab w:val="right" w:leader="dot" w:pos="9469"/>
        </w:tabs>
        <w:spacing w:line="360" w:lineRule="auto"/>
        <w:rPr>
          <w:color w:val="auto"/>
          <w:sz w:val="32"/>
          <w:szCs w:val="32"/>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_Toc28121 </w:instrText>
      </w:r>
      <w:r>
        <w:rPr>
          <w:rFonts w:ascii="宋体" w:hAnsi="宋体"/>
          <w:bCs/>
          <w:color w:val="auto"/>
          <w:sz w:val="32"/>
          <w:szCs w:val="32"/>
          <w:highlight w:val="none"/>
          <w:lang w:val="zh-CN"/>
        </w:rPr>
        <w:fldChar w:fldCharType="separate"/>
      </w:r>
      <w:r>
        <w:rPr>
          <w:rFonts w:ascii="宋体" w:hAnsi="宋体"/>
          <w:snapToGrid w:val="0"/>
          <w:color w:val="auto"/>
          <w:kern w:val="0"/>
          <w:sz w:val="32"/>
          <w:szCs w:val="32"/>
          <w:highlight w:val="none"/>
        </w:rPr>
        <w:t xml:space="preserve">第一章  </w:t>
      </w:r>
      <w:r>
        <w:rPr>
          <w:rFonts w:hint="eastAsia" w:ascii="宋体" w:hAnsi="宋体"/>
          <w:snapToGrid w:val="0"/>
          <w:color w:val="auto"/>
          <w:kern w:val="0"/>
          <w:sz w:val="32"/>
          <w:szCs w:val="32"/>
          <w:highlight w:val="none"/>
          <w:lang w:eastAsia="zh-CN"/>
        </w:rPr>
        <w:t>比选公告</w:t>
      </w:r>
      <w:r>
        <w:rPr>
          <w:color w:val="auto"/>
          <w:sz w:val="32"/>
          <w:szCs w:val="32"/>
        </w:rPr>
        <w:tab/>
      </w:r>
      <w:r>
        <w:rPr>
          <w:color w:val="auto"/>
          <w:sz w:val="32"/>
          <w:szCs w:val="32"/>
        </w:rPr>
        <w:fldChar w:fldCharType="begin"/>
      </w:r>
      <w:r>
        <w:rPr>
          <w:color w:val="auto"/>
          <w:sz w:val="32"/>
          <w:szCs w:val="32"/>
        </w:rPr>
        <w:instrText xml:space="preserve"> PAGEREF _Toc28121 \h </w:instrText>
      </w:r>
      <w:r>
        <w:rPr>
          <w:color w:val="auto"/>
          <w:sz w:val="32"/>
          <w:szCs w:val="32"/>
        </w:rPr>
        <w:fldChar w:fldCharType="separate"/>
      </w:r>
      <w:r>
        <w:rPr>
          <w:color w:val="auto"/>
          <w:sz w:val="32"/>
          <w:szCs w:val="32"/>
        </w:rPr>
        <w:t>3</w:t>
      </w:r>
      <w:r>
        <w:rPr>
          <w:color w:val="auto"/>
          <w:sz w:val="32"/>
          <w:szCs w:val="32"/>
        </w:rPr>
        <w:fldChar w:fldCharType="end"/>
      </w:r>
      <w:r>
        <w:rPr>
          <w:rFonts w:ascii="宋体" w:hAnsi="宋体"/>
          <w:bCs/>
          <w:color w:val="auto"/>
          <w:sz w:val="32"/>
          <w:szCs w:val="32"/>
          <w:highlight w:val="none"/>
          <w:lang w:val="zh-CN"/>
        </w:rPr>
        <w:fldChar w:fldCharType="end"/>
      </w:r>
    </w:p>
    <w:p w14:paraId="5DBBEAC8">
      <w:pPr>
        <w:pStyle w:val="33"/>
        <w:tabs>
          <w:tab w:val="right" w:leader="dot" w:pos="9469"/>
        </w:tabs>
        <w:spacing w:line="360" w:lineRule="auto"/>
        <w:rPr>
          <w:color w:val="auto"/>
          <w:sz w:val="32"/>
          <w:szCs w:val="32"/>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_Toc28579 </w:instrText>
      </w:r>
      <w:r>
        <w:rPr>
          <w:rFonts w:ascii="宋体" w:hAnsi="宋体"/>
          <w:bCs/>
          <w:color w:val="auto"/>
          <w:sz w:val="32"/>
          <w:szCs w:val="32"/>
          <w:highlight w:val="none"/>
          <w:lang w:val="zh-CN"/>
        </w:rPr>
        <w:fldChar w:fldCharType="separate"/>
      </w:r>
      <w:r>
        <w:rPr>
          <w:rFonts w:ascii="宋体" w:hAnsi="宋体"/>
          <w:snapToGrid w:val="0"/>
          <w:color w:val="auto"/>
          <w:kern w:val="0"/>
          <w:sz w:val="32"/>
          <w:szCs w:val="32"/>
          <w:highlight w:val="none"/>
        </w:rPr>
        <w:t xml:space="preserve">第二章  </w:t>
      </w:r>
      <w:r>
        <w:rPr>
          <w:rFonts w:hint="eastAsia" w:ascii="宋体" w:hAnsi="宋体"/>
          <w:snapToGrid w:val="0"/>
          <w:color w:val="auto"/>
          <w:kern w:val="0"/>
          <w:sz w:val="32"/>
          <w:szCs w:val="32"/>
          <w:highlight w:val="none"/>
          <w:lang w:eastAsia="zh-CN"/>
        </w:rPr>
        <w:t>竞选人</w:t>
      </w:r>
      <w:r>
        <w:rPr>
          <w:rFonts w:ascii="宋体" w:hAnsi="宋体"/>
          <w:snapToGrid w:val="0"/>
          <w:color w:val="auto"/>
          <w:kern w:val="0"/>
          <w:sz w:val="32"/>
          <w:szCs w:val="32"/>
          <w:highlight w:val="none"/>
        </w:rPr>
        <w:t>须知</w:t>
      </w:r>
      <w:r>
        <w:rPr>
          <w:color w:val="auto"/>
          <w:sz w:val="32"/>
          <w:szCs w:val="32"/>
        </w:rPr>
        <w:tab/>
      </w:r>
      <w:r>
        <w:rPr>
          <w:color w:val="auto"/>
          <w:sz w:val="32"/>
          <w:szCs w:val="32"/>
        </w:rPr>
        <w:fldChar w:fldCharType="begin"/>
      </w:r>
      <w:r>
        <w:rPr>
          <w:color w:val="auto"/>
          <w:sz w:val="32"/>
          <w:szCs w:val="32"/>
        </w:rPr>
        <w:instrText xml:space="preserve"> PAGEREF _Toc28579 \h </w:instrText>
      </w:r>
      <w:r>
        <w:rPr>
          <w:color w:val="auto"/>
          <w:sz w:val="32"/>
          <w:szCs w:val="32"/>
        </w:rPr>
        <w:fldChar w:fldCharType="separate"/>
      </w:r>
      <w:r>
        <w:rPr>
          <w:color w:val="auto"/>
          <w:sz w:val="32"/>
          <w:szCs w:val="32"/>
        </w:rPr>
        <w:t>5</w:t>
      </w:r>
      <w:r>
        <w:rPr>
          <w:color w:val="auto"/>
          <w:sz w:val="32"/>
          <w:szCs w:val="32"/>
        </w:rPr>
        <w:fldChar w:fldCharType="end"/>
      </w:r>
      <w:r>
        <w:rPr>
          <w:rFonts w:ascii="宋体" w:hAnsi="宋体"/>
          <w:bCs/>
          <w:color w:val="auto"/>
          <w:sz w:val="32"/>
          <w:szCs w:val="32"/>
          <w:highlight w:val="none"/>
          <w:lang w:val="zh-CN"/>
        </w:rPr>
        <w:fldChar w:fldCharType="end"/>
      </w:r>
    </w:p>
    <w:p w14:paraId="1FCDC877">
      <w:pPr>
        <w:pStyle w:val="33"/>
        <w:tabs>
          <w:tab w:val="right" w:leader="dot" w:pos="9469"/>
        </w:tabs>
        <w:spacing w:line="360" w:lineRule="auto"/>
        <w:rPr>
          <w:color w:val="auto"/>
          <w:sz w:val="32"/>
          <w:szCs w:val="32"/>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_Toc22226 </w:instrText>
      </w:r>
      <w:r>
        <w:rPr>
          <w:rFonts w:ascii="宋体" w:hAnsi="宋体"/>
          <w:bCs/>
          <w:color w:val="auto"/>
          <w:sz w:val="32"/>
          <w:szCs w:val="32"/>
          <w:highlight w:val="none"/>
          <w:lang w:val="zh-CN"/>
        </w:rPr>
        <w:fldChar w:fldCharType="separate"/>
      </w:r>
      <w:r>
        <w:rPr>
          <w:rFonts w:ascii="宋体" w:hAnsi="宋体" w:eastAsia="宋体" w:cs="Times New Roman"/>
          <w:bCs/>
          <w:color w:val="auto"/>
          <w:kern w:val="44"/>
          <w:sz w:val="32"/>
          <w:szCs w:val="72"/>
          <w:highlight w:val="none"/>
          <w:lang w:val="en-US" w:eastAsia="zh-CN" w:bidi="ar-SA"/>
        </w:rPr>
        <w:t xml:space="preserve">第三章 </w:t>
      </w:r>
      <w:r>
        <w:rPr>
          <w:rFonts w:hint="eastAsia" w:ascii="宋体" w:hAnsi="宋体" w:eastAsia="宋体" w:cs="Times New Roman"/>
          <w:bCs/>
          <w:color w:val="auto"/>
          <w:kern w:val="44"/>
          <w:sz w:val="32"/>
          <w:szCs w:val="72"/>
          <w:highlight w:val="none"/>
          <w:lang w:val="en-US" w:eastAsia="zh-CN" w:bidi="ar-SA"/>
        </w:rPr>
        <w:t xml:space="preserve"> </w:t>
      </w:r>
      <w:r>
        <w:rPr>
          <w:rFonts w:ascii="宋体" w:hAnsi="宋体" w:eastAsia="宋体" w:cs="Times New Roman"/>
          <w:bCs/>
          <w:color w:val="auto"/>
          <w:kern w:val="44"/>
          <w:sz w:val="32"/>
          <w:szCs w:val="72"/>
          <w:highlight w:val="none"/>
          <w:lang w:val="en-US" w:eastAsia="zh-CN" w:bidi="ar-SA"/>
        </w:rPr>
        <w:t>评标办法（综合评估法）</w:t>
      </w:r>
      <w:r>
        <w:rPr>
          <w:color w:val="auto"/>
          <w:sz w:val="32"/>
          <w:szCs w:val="32"/>
        </w:rPr>
        <w:tab/>
      </w:r>
      <w:r>
        <w:rPr>
          <w:color w:val="auto"/>
          <w:sz w:val="32"/>
          <w:szCs w:val="32"/>
        </w:rPr>
        <w:fldChar w:fldCharType="begin"/>
      </w:r>
      <w:r>
        <w:rPr>
          <w:color w:val="auto"/>
          <w:sz w:val="32"/>
          <w:szCs w:val="32"/>
        </w:rPr>
        <w:instrText xml:space="preserve"> PAGEREF _Toc22226 \h </w:instrText>
      </w:r>
      <w:r>
        <w:rPr>
          <w:color w:val="auto"/>
          <w:sz w:val="32"/>
          <w:szCs w:val="32"/>
        </w:rPr>
        <w:fldChar w:fldCharType="separate"/>
      </w:r>
      <w:r>
        <w:rPr>
          <w:color w:val="auto"/>
          <w:sz w:val="32"/>
          <w:szCs w:val="32"/>
        </w:rPr>
        <w:t>22</w:t>
      </w:r>
      <w:r>
        <w:rPr>
          <w:color w:val="auto"/>
          <w:sz w:val="32"/>
          <w:szCs w:val="32"/>
        </w:rPr>
        <w:fldChar w:fldCharType="end"/>
      </w:r>
      <w:r>
        <w:rPr>
          <w:rFonts w:ascii="宋体" w:hAnsi="宋体"/>
          <w:bCs/>
          <w:color w:val="auto"/>
          <w:sz w:val="32"/>
          <w:szCs w:val="32"/>
          <w:highlight w:val="none"/>
          <w:lang w:val="zh-CN"/>
        </w:rPr>
        <w:fldChar w:fldCharType="end"/>
      </w:r>
    </w:p>
    <w:p w14:paraId="13F21109">
      <w:pPr>
        <w:pStyle w:val="33"/>
        <w:tabs>
          <w:tab w:val="right" w:leader="dot" w:pos="9469"/>
        </w:tabs>
        <w:spacing w:line="360" w:lineRule="auto"/>
        <w:rPr>
          <w:color w:val="auto"/>
          <w:sz w:val="32"/>
          <w:szCs w:val="32"/>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_Toc16777 </w:instrText>
      </w:r>
      <w:r>
        <w:rPr>
          <w:rFonts w:ascii="宋体" w:hAnsi="宋体"/>
          <w:bCs/>
          <w:color w:val="auto"/>
          <w:sz w:val="32"/>
          <w:szCs w:val="32"/>
          <w:highlight w:val="none"/>
          <w:lang w:val="zh-CN"/>
        </w:rPr>
        <w:fldChar w:fldCharType="separate"/>
      </w:r>
      <w:r>
        <w:rPr>
          <w:rFonts w:hint="eastAsia" w:ascii="宋体" w:hAnsi="宋体"/>
          <w:color w:val="auto"/>
          <w:kern w:val="0"/>
          <w:sz w:val="32"/>
          <w:szCs w:val="32"/>
          <w:highlight w:val="none"/>
        </w:rPr>
        <w:t>第四章  合同条款及格式</w:t>
      </w:r>
      <w:r>
        <w:rPr>
          <w:color w:val="auto"/>
          <w:sz w:val="32"/>
          <w:szCs w:val="32"/>
        </w:rPr>
        <w:tab/>
      </w:r>
      <w:r>
        <w:rPr>
          <w:color w:val="auto"/>
          <w:sz w:val="32"/>
          <w:szCs w:val="32"/>
        </w:rPr>
        <w:fldChar w:fldCharType="begin"/>
      </w:r>
      <w:r>
        <w:rPr>
          <w:color w:val="auto"/>
          <w:sz w:val="32"/>
          <w:szCs w:val="32"/>
        </w:rPr>
        <w:instrText xml:space="preserve"> PAGEREF _Toc16777 \h </w:instrText>
      </w:r>
      <w:r>
        <w:rPr>
          <w:color w:val="auto"/>
          <w:sz w:val="32"/>
          <w:szCs w:val="32"/>
        </w:rPr>
        <w:fldChar w:fldCharType="separate"/>
      </w:r>
      <w:r>
        <w:rPr>
          <w:color w:val="auto"/>
          <w:sz w:val="32"/>
          <w:szCs w:val="32"/>
        </w:rPr>
        <w:t>31</w:t>
      </w:r>
      <w:r>
        <w:rPr>
          <w:color w:val="auto"/>
          <w:sz w:val="32"/>
          <w:szCs w:val="32"/>
        </w:rPr>
        <w:fldChar w:fldCharType="end"/>
      </w:r>
      <w:r>
        <w:rPr>
          <w:rFonts w:ascii="宋体" w:hAnsi="宋体"/>
          <w:bCs/>
          <w:color w:val="auto"/>
          <w:sz w:val="32"/>
          <w:szCs w:val="32"/>
          <w:highlight w:val="none"/>
          <w:lang w:val="zh-CN"/>
        </w:rPr>
        <w:fldChar w:fldCharType="end"/>
      </w:r>
    </w:p>
    <w:p w14:paraId="32899E01">
      <w:pPr>
        <w:pStyle w:val="33"/>
        <w:tabs>
          <w:tab w:val="right" w:leader="dot" w:pos="9469"/>
        </w:tabs>
        <w:spacing w:line="360" w:lineRule="auto"/>
        <w:rPr>
          <w:color w:val="auto"/>
          <w:sz w:val="32"/>
          <w:szCs w:val="32"/>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_Toc16451 </w:instrText>
      </w:r>
      <w:r>
        <w:rPr>
          <w:rFonts w:ascii="宋体" w:hAnsi="宋体"/>
          <w:bCs/>
          <w:color w:val="auto"/>
          <w:sz w:val="32"/>
          <w:szCs w:val="32"/>
          <w:highlight w:val="none"/>
          <w:lang w:val="zh-CN"/>
        </w:rPr>
        <w:fldChar w:fldCharType="separate"/>
      </w:r>
      <w:r>
        <w:rPr>
          <w:rFonts w:ascii="宋体" w:hAnsi="宋体"/>
          <w:color w:val="auto"/>
          <w:sz w:val="32"/>
          <w:szCs w:val="32"/>
          <w:highlight w:val="none"/>
        </w:rPr>
        <w:t>第</w:t>
      </w:r>
      <w:r>
        <w:rPr>
          <w:rFonts w:hint="eastAsia" w:ascii="宋体" w:hAnsi="宋体"/>
          <w:color w:val="auto"/>
          <w:sz w:val="32"/>
          <w:szCs w:val="32"/>
          <w:highlight w:val="none"/>
          <w:lang w:val="en-US" w:eastAsia="zh-CN"/>
        </w:rPr>
        <w:t>五</w:t>
      </w:r>
      <w:r>
        <w:rPr>
          <w:rFonts w:ascii="宋体" w:hAnsi="宋体"/>
          <w:color w:val="auto"/>
          <w:sz w:val="32"/>
          <w:szCs w:val="32"/>
          <w:highlight w:val="none"/>
        </w:rPr>
        <w:t>章</w:t>
      </w:r>
      <w:r>
        <w:rPr>
          <w:rFonts w:hint="eastAsia" w:ascii="宋体" w:hAnsi="宋体"/>
          <w:color w:val="auto"/>
          <w:sz w:val="32"/>
          <w:szCs w:val="32"/>
          <w:highlight w:val="none"/>
        </w:rPr>
        <w:t xml:space="preserve">  </w:t>
      </w:r>
      <w:r>
        <w:rPr>
          <w:rFonts w:ascii="宋体" w:hAnsi="宋体"/>
          <w:color w:val="auto"/>
          <w:sz w:val="32"/>
          <w:szCs w:val="32"/>
          <w:highlight w:val="none"/>
        </w:rPr>
        <w:t>技术标准和要求</w:t>
      </w:r>
      <w:r>
        <w:rPr>
          <w:color w:val="auto"/>
          <w:sz w:val="32"/>
          <w:szCs w:val="32"/>
        </w:rPr>
        <w:tab/>
      </w:r>
      <w:r>
        <w:rPr>
          <w:color w:val="auto"/>
          <w:sz w:val="32"/>
          <w:szCs w:val="32"/>
        </w:rPr>
        <w:fldChar w:fldCharType="begin"/>
      </w:r>
      <w:r>
        <w:rPr>
          <w:color w:val="auto"/>
          <w:sz w:val="32"/>
          <w:szCs w:val="32"/>
        </w:rPr>
        <w:instrText xml:space="preserve"> PAGEREF _Toc16451 \h </w:instrText>
      </w:r>
      <w:r>
        <w:rPr>
          <w:color w:val="auto"/>
          <w:sz w:val="32"/>
          <w:szCs w:val="32"/>
        </w:rPr>
        <w:fldChar w:fldCharType="separate"/>
      </w:r>
      <w:r>
        <w:rPr>
          <w:color w:val="auto"/>
          <w:sz w:val="32"/>
          <w:szCs w:val="32"/>
        </w:rPr>
        <w:t>46</w:t>
      </w:r>
      <w:r>
        <w:rPr>
          <w:color w:val="auto"/>
          <w:sz w:val="32"/>
          <w:szCs w:val="32"/>
        </w:rPr>
        <w:fldChar w:fldCharType="end"/>
      </w:r>
      <w:r>
        <w:rPr>
          <w:rFonts w:ascii="宋体" w:hAnsi="宋体"/>
          <w:bCs/>
          <w:color w:val="auto"/>
          <w:sz w:val="32"/>
          <w:szCs w:val="32"/>
          <w:highlight w:val="none"/>
          <w:lang w:val="zh-CN"/>
        </w:rPr>
        <w:fldChar w:fldCharType="end"/>
      </w:r>
    </w:p>
    <w:p w14:paraId="374CBB1B">
      <w:pPr>
        <w:pStyle w:val="33"/>
        <w:tabs>
          <w:tab w:val="right" w:leader="dot" w:pos="9469"/>
        </w:tabs>
        <w:spacing w:line="360" w:lineRule="auto"/>
        <w:rPr>
          <w:color w:val="auto"/>
          <w:sz w:val="32"/>
          <w:szCs w:val="32"/>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_Toc4333 </w:instrText>
      </w:r>
      <w:r>
        <w:rPr>
          <w:rFonts w:ascii="宋体" w:hAnsi="宋体"/>
          <w:bCs/>
          <w:color w:val="auto"/>
          <w:sz w:val="32"/>
          <w:szCs w:val="32"/>
          <w:highlight w:val="none"/>
          <w:lang w:val="zh-CN"/>
        </w:rPr>
        <w:fldChar w:fldCharType="separate"/>
      </w:r>
      <w:r>
        <w:rPr>
          <w:rFonts w:hint="eastAsia" w:ascii="宋体" w:hAnsi="宋体"/>
          <w:color w:val="auto"/>
          <w:sz w:val="32"/>
          <w:szCs w:val="32"/>
          <w:highlight w:val="none"/>
        </w:rPr>
        <w:t>第</w:t>
      </w:r>
      <w:r>
        <w:rPr>
          <w:rFonts w:hint="eastAsia" w:ascii="宋体" w:hAnsi="宋体"/>
          <w:color w:val="auto"/>
          <w:sz w:val="32"/>
          <w:szCs w:val="32"/>
          <w:highlight w:val="none"/>
          <w:lang w:val="en-US" w:eastAsia="zh-CN"/>
        </w:rPr>
        <w:t>六</w:t>
      </w:r>
      <w:r>
        <w:rPr>
          <w:rFonts w:hint="eastAsia" w:ascii="宋体" w:hAnsi="宋体"/>
          <w:color w:val="auto"/>
          <w:sz w:val="32"/>
          <w:szCs w:val="32"/>
          <w:highlight w:val="none"/>
        </w:rPr>
        <w:t xml:space="preserve">章  </w:t>
      </w:r>
      <w:r>
        <w:rPr>
          <w:rFonts w:hint="eastAsia" w:ascii="宋体" w:hAnsi="宋体"/>
          <w:color w:val="auto"/>
          <w:sz w:val="32"/>
          <w:szCs w:val="32"/>
          <w:highlight w:val="none"/>
          <w:lang w:eastAsia="zh-CN"/>
        </w:rPr>
        <w:t>竞选文件</w:t>
      </w:r>
      <w:r>
        <w:rPr>
          <w:rFonts w:hint="eastAsia" w:ascii="宋体" w:hAnsi="宋体"/>
          <w:color w:val="auto"/>
          <w:sz w:val="32"/>
          <w:szCs w:val="32"/>
          <w:highlight w:val="none"/>
        </w:rPr>
        <w:t>格式</w:t>
      </w:r>
      <w:r>
        <w:rPr>
          <w:color w:val="auto"/>
          <w:sz w:val="32"/>
          <w:szCs w:val="32"/>
        </w:rPr>
        <w:tab/>
      </w:r>
      <w:r>
        <w:rPr>
          <w:color w:val="auto"/>
          <w:sz w:val="32"/>
          <w:szCs w:val="32"/>
        </w:rPr>
        <w:fldChar w:fldCharType="begin"/>
      </w:r>
      <w:r>
        <w:rPr>
          <w:color w:val="auto"/>
          <w:sz w:val="32"/>
          <w:szCs w:val="32"/>
        </w:rPr>
        <w:instrText xml:space="preserve"> PAGEREF _Toc4333 \h </w:instrText>
      </w:r>
      <w:r>
        <w:rPr>
          <w:color w:val="auto"/>
          <w:sz w:val="32"/>
          <w:szCs w:val="32"/>
        </w:rPr>
        <w:fldChar w:fldCharType="separate"/>
      </w:r>
      <w:r>
        <w:rPr>
          <w:color w:val="auto"/>
          <w:sz w:val="32"/>
          <w:szCs w:val="32"/>
        </w:rPr>
        <w:t>47</w:t>
      </w:r>
      <w:r>
        <w:rPr>
          <w:color w:val="auto"/>
          <w:sz w:val="32"/>
          <w:szCs w:val="32"/>
        </w:rPr>
        <w:fldChar w:fldCharType="end"/>
      </w:r>
      <w:r>
        <w:rPr>
          <w:rFonts w:ascii="宋体" w:hAnsi="宋体"/>
          <w:bCs/>
          <w:color w:val="auto"/>
          <w:sz w:val="32"/>
          <w:szCs w:val="32"/>
          <w:highlight w:val="none"/>
          <w:lang w:val="zh-CN"/>
        </w:rPr>
        <w:fldChar w:fldCharType="end"/>
      </w:r>
    </w:p>
    <w:p w14:paraId="3D613153">
      <w:pPr>
        <w:rPr>
          <w:rFonts w:ascii="宋体" w:hAnsi="宋体"/>
          <w:color w:val="auto"/>
          <w:sz w:val="32"/>
          <w:szCs w:val="40"/>
          <w:highlight w:val="none"/>
        </w:rPr>
      </w:pPr>
      <w:r>
        <w:rPr>
          <w:rFonts w:ascii="宋体" w:hAnsi="宋体"/>
          <w:bCs/>
          <w:color w:val="auto"/>
          <w:sz w:val="32"/>
          <w:szCs w:val="28"/>
          <w:highlight w:val="none"/>
          <w:lang w:val="zh-CN"/>
        </w:rPr>
        <w:fldChar w:fldCharType="end"/>
      </w:r>
    </w:p>
    <w:bookmarkEnd w:id="0"/>
    <w:p w14:paraId="2BF083CB">
      <w:pPr>
        <w:spacing w:line="20" w:lineRule="exact"/>
        <w:rPr>
          <w:rFonts w:ascii="宋体" w:hAnsi="宋体"/>
          <w:color w:val="auto"/>
          <w:highlight w:val="none"/>
        </w:rPr>
      </w:pPr>
      <w:bookmarkStart w:id="8" w:name="_Toc430530414"/>
    </w:p>
    <w:p w14:paraId="37842DC0">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0F212E77">
      <w:pPr>
        <w:spacing w:line="360" w:lineRule="auto"/>
        <w:rPr>
          <w:rFonts w:ascii="宋体" w:hAnsi="宋体"/>
          <w:color w:val="auto"/>
          <w:highlight w:val="none"/>
        </w:rPr>
      </w:pPr>
    </w:p>
    <w:p w14:paraId="2370C538">
      <w:pPr>
        <w:pStyle w:val="4"/>
        <w:spacing w:before="0" w:after="0" w:line="480" w:lineRule="auto"/>
        <w:jc w:val="center"/>
        <w:rPr>
          <w:rFonts w:ascii="宋体" w:hAnsi="宋体"/>
          <w:color w:val="auto"/>
          <w:sz w:val="52"/>
          <w:szCs w:val="52"/>
          <w:highlight w:val="none"/>
        </w:rPr>
      </w:pPr>
      <w:bookmarkStart w:id="9" w:name="_Toc22739"/>
      <w:bookmarkStart w:id="10" w:name="_Toc23956"/>
      <w:bookmarkStart w:id="11" w:name="_Toc9936"/>
      <w:bookmarkStart w:id="12" w:name="_Toc509218690"/>
      <w:r>
        <w:rPr>
          <w:rFonts w:hint="eastAsia" w:ascii="宋体" w:hAnsi="宋体"/>
          <w:color w:val="auto"/>
          <w:sz w:val="52"/>
          <w:szCs w:val="52"/>
          <w:highlight w:val="none"/>
        </w:rPr>
        <w:t>第 一 卷</w:t>
      </w:r>
      <w:bookmarkEnd w:id="9"/>
      <w:bookmarkEnd w:id="10"/>
      <w:bookmarkEnd w:id="11"/>
      <w:bookmarkEnd w:id="12"/>
    </w:p>
    <w:p w14:paraId="7E137087">
      <w:pPr>
        <w:spacing w:line="200" w:lineRule="exact"/>
        <w:rPr>
          <w:rFonts w:ascii="宋体" w:hAnsi="宋体"/>
          <w:color w:val="auto"/>
          <w:highlight w:val="none"/>
        </w:rPr>
      </w:pPr>
      <w:r>
        <w:rPr>
          <w:rFonts w:ascii="宋体" w:hAnsi="宋体"/>
          <w:color w:val="auto"/>
          <w:highlight w:val="none"/>
        </w:rPr>
        <w:br w:type="page"/>
      </w:r>
    </w:p>
    <w:p w14:paraId="73FE1B2D">
      <w:pPr>
        <w:pStyle w:val="4"/>
        <w:spacing w:line="360" w:lineRule="auto"/>
        <w:jc w:val="center"/>
        <w:rPr>
          <w:rFonts w:ascii="宋体" w:hAnsi="宋体"/>
          <w:snapToGrid w:val="0"/>
          <w:color w:val="auto"/>
          <w:kern w:val="0"/>
          <w:highlight w:val="none"/>
        </w:rPr>
      </w:pPr>
      <w:bookmarkStart w:id="13" w:name="_Toc224103298"/>
      <w:bookmarkStart w:id="14" w:name="_Toc287607727"/>
      <w:bookmarkStart w:id="15" w:name="_Toc509218691"/>
      <w:bookmarkStart w:id="16" w:name="_Toc430530415"/>
      <w:bookmarkStart w:id="17" w:name="_Toc12819"/>
      <w:bookmarkStart w:id="18" w:name="_Toc277082535"/>
      <w:bookmarkStart w:id="19" w:name="_Toc28121"/>
      <w:bookmarkStart w:id="20" w:name="_Toc287620666"/>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bookmarkEnd w:id="13"/>
      <w:bookmarkEnd w:id="14"/>
      <w:bookmarkEnd w:id="15"/>
      <w:bookmarkEnd w:id="16"/>
      <w:bookmarkEnd w:id="17"/>
      <w:bookmarkEnd w:id="18"/>
      <w:bookmarkEnd w:id="19"/>
      <w:bookmarkEnd w:id="20"/>
    </w:p>
    <w:p w14:paraId="4DEE3AFA">
      <w:pPr>
        <w:autoSpaceDE w:val="0"/>
        <w:autoSpaceDN w:val="0"/>
        <w:adjustRightInd w:val="0"/>
        <w:snapToGrid w:val="0"/>
        <w:spacing w:line="360" w:lineRule="auto"/>
        <w:jc w:val="center"/>
        <w:rPr>
          <w:rFonts w:hint="eastAsia" w:ascii="宋体" w:hAnsi="宋体" w:eastAsia="宋体"/>
          <w:snapToGrid w:val="0"/>
          <w:color w:val="auto"/>
          <w:kern w:val="0"/>
          <w:sz w:val="28"/>
          <w:szCs w:val="28"/>
          <w:highlight w:val="none"/>
          <w:lang w:eastAsia="zh-CN"/>
        </w:rPr>
      </w:pPr>
      <w:r>
        <w:rPr>
          <w:rFonts w:hint="eastAsia" w:ascii="宋体" w:hAnsi="宋体"/>
          <w:snapToGrid w:val="0"/>
          <w:color w:val="auto"/>
          <w:kern w:val="0"/>
          <w:sz w:val="28"/>
          <w:szCs w:val="28"/>
          <w:highlight w:val="none"/>
          <w:u w:val="single"/>
          <w:lang w:val="en-US" w:eastAsia="zh-CN"/>
        </w:rPr>
        <w:t>广阳湾通江人才社区（一期）项目品牌设计及营销服务</w:t>
      </w:r>
      <w:r>
        <w:rPr>
          <w:rFonts w:hint="eastAsia" w:ascii="宋体" w:hAnsi="宋体"/>
          <w:snapToGrid w:val="0"/>
          <w:color w:val="auto"/>
          <w:kern w:val="0"/>
          <w:sz w:val="28"/>
          <w:szCs w:val="28"/>
          <w:highlight w:val="none"/>
          <w:u w:val="single"/>
          <w:lang w:eastAsia="zh-CN"/>
        </w:rPr>
        <w:t xml:space="preserve">  </w:t>
      </w:r>
      <w:r>
        <w:rPr>
          <w:rFonts w:hint="eastAsia" w:ascii="宋体" w:hAnsi="宋体"/>
          <w:snapToGrid w:val="0"/>
          <w:color w:val="auto"/>
          <w:w w:val="99"/>
          <w:kern w:val="0"/>
          <w:sz w:val="28"/>
          <w:szCs w:val="28"/>
          <w:highlight w:val="none"/>
          <w:lang w:eastAsia="zh-CN"/>
        </w:rPr>
        <w:t>比选公告</w:t>
      </w:r>
    </w:p>
    <w:p w14:paraId="27001887">
      <w:pPr>
        <w:pStyle w:val="5"/>
        <w:spacing w:before="100" w:after="100" w:line="460" w:lineRule="exact"/>
        <w:rPr>
          <w:rFonts w:ascii="宋体" w:hAnsi="宋体"/>
          <w:snapToGrid w:val="0"/>
          <w:color w:val="auto"/>
          <w:sz w:val="28"/>
          <w:szCs w:val="28"/>
          <w:highlight w:val="none"/>
        </w:rPr>
      </w:pPr>
      <w:bookmarkStart w:id="21" w:name="_Toc287620667"/>
      <w:bookmarkStart w:id="22" w:name="_Toc277082536"/>
      <w:bookmarkStart w:id="23" w:name="_Toc26523"/>
      <w:bookmarkStart w:id="24" w:name="_Toc21181"/>
      <w:bookmarkStart w:id="25" w:name="_Toc224103299"/>
      <w:bookmarkStart w:id="26" w:name="_Toc287607728"/>
      <w:bookmarkStart w:id="27" w:name="_Toc200359238"/>
      <w:bookmarkStart w:id="28" w:name="_Toc430530416"/>
      <w:bookmarkStart w:id="29" w:name="_Toc509218692"/>
      <w:bookmarkStart w:id="30" w:name="_Toc27491"/>
      <w:bookmarkStart w:id="31"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1"/>
      <w:bookmarkEnd w:id="22"/>
      <w:bookmarkEnd w:id="23"/>
      <w:bookmarkEnd w:id="24"/>
      <w:bookmarkEnd w:id="25"/>
      <w:bookmarkEnd w:id="26"/>
      <w:bookmarkEnd w:id="27"/>
      <w:bookmarkEnd w:id="28"/>
      <w:bookmarkEnd w:id="29"/>
      <w:bookmarkEnd w:id="30"/>
      <w:bookmarkEnd w:id="31"/>
    </w:p>
    <w:p w14:paraId="622A8F0E">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本项目</w:t>
      </w:r>
      <w:r>
        <w:rPr>
          <w:rFonts w:hint="eastAsia" w:ascii="宋体" w:hAnsi="宋体"/>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广阳湾通江人才社区（一期）项目品牌设计及营销服务</w:t>
      </w:r>
      <w:r>
        <w:rPr>
          <w:rFonts w:hint="eastAsia" w:ascii="宋体" w:hAnsi="宋体"/>
          <w:snapToGrid w:val="0"/>
          <w:color w:val="auto"/>
          <w:kern w:val="0"/>
          <w:szCs w:val="21"/>
          <w:highlight w:val="none"/>
          <w:u w:val="single"/>
          <w:lang w:eastAsia="zh-CN"/>
        </w:rPr>
        <w:t xml:space="preserve">  </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重庆乾睿置业发展有限公司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重庆乾睿置业发展有限公司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721F2DDF">
      <w:pPr>
        <w:pStyle w:val="5"/>
        <w:spacing w:before="100" w:after="100" w:line="460" w:lineRule="exact"/>
        <w:rPr>
          <w:rFonts w:ascii="宋体" w:hAnsi="宋体"/>
          <w:snapToGrid w:val="0"/>
          <w:color w:val="auto"/>
          <w:sz w:val="28"/>
          <w:szCs w:val="28"/>
          <w:highlight w:val="none"/>
        </w:rPr>
      </w:pPr>
      <w:bookmarkStart w:id="32" w:name="_Toc200359239"/>
      <w:bookmarkStart w:id="33" w:name="_Toc277082537"/>
      <w:bookmarkStart w:id="34" w:name="_Toc22556"/>
      <w:bookmarkStart w:id="35" w:name="_Toc509218693"/>
      <w:bookmarkStart w:id="36" w:name="_Toc430530417"/>
      <w:bookmarkStart w:id="37" w:name="_Toc16344"/>
      <w:bookmarkStart w:id="38" w:name="_Toc224103300"/>
      <w:bookmarkStart w:id="39" w:name="_Toc200359428"/>
      <w:bookmarkStart w:id="40" w:name="_Toc2343"/>
      <w:bookmarkStart w:id="41" w:name="_Toc287620668"/>
      <w:bookmarkStart w:id="42" w:name="_Toc28760772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2"/>
      <w:bookmarkEnd w:id="33"/>
      <w:bookmarkEnd w:id="34"/>
      <w:bookmarkEnd w:id="35"/>
      <w:bookmarkEnd w:id="36"/>
      <w:bookmarkEnd w:id="37"/>
      <w:bookmarkEnd w:id="38"/>
      <w:bookmarkEnd w:id="39"/>
      <w:bookmarkEnd w:id="40"/>
      <w:bookmarkEnd w:id="41"/>
      <w:bookmarkEnd w:id="42"/>
    </w:p>
    <w:p w14:paraId="4203D15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2.1 </w:t>
      </w:r>
      <w:r>
        <w:rPr>
          <w:rFonts w:hint="eastAsia" w:ascii="宋体" w:hAnsi="宋体" w:cs="宋体"/>
          <w:color w:val="auto"/>
          <w:sz w:val="21"/>
          <w:szCs w:val="21"/>
          <w:highlight w:val="none"/>
          <w:lang w:val="zh-CN"/>
        </w:rPr>
        <w:t>服务</w:t>
      </w:r>
      <w:r>
        <w:rPr>
          <w:rFonts w:hint="eastAsia" w:ascii="宋体" w:hAnsi="宋体"/>
          <w:snapToGrid w:val="0"/>
          <w:color w:val="auto"/>
          <w:kern w:val="0"/>
          <w:szCs w:val="21"/>
          <w:highlight w:val="none"/>
        </w:rPr>
        <w:t>地点：重庆市南岸区</w:t>
      </w:r>
      <w:r>
        <w:rPr>
          <w:rFonts w:hint="eastAsia" w:ascii="宋体" w:hAnsi="宋体"/>
          <w:snapToGrid w:val="0"/>
          <w:color w:val="auto"/>
          <w:kern w:val="0"/>
          <w:szCs w:val="21"/>
          <w:highlight w:val="none"/>
          <w:lang w:val="en-US" w:eastAsia="zh-CN"/>
        </w:rPr>
        <w:t>茶园经开区</w:t>
      </w:r>
      <w:r>
        <w:rPr>
          <w:rFonts w:hint="eastAsia" w:ascii="宋体" w:hAnsi="宋体"/>
          <w:snapToGrid w:val="0"/>
          <w:color w:val="auto"/>
          <w:kern w:val="0"/>
          <w:szCs w:val="21"/>
          <w:highlight w:val="none"/>
          <w:u w:val="none"/>
          <w:lang w:eastAsia="zh-CN"/>
        </w:rPr>
        <w:t>。</w:t>
      </w:r>
    </w:p>
    <w:p w14:paraId="2631A3F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2</w:t>
      </w:r>
      <w:r>
        <w:rPr>
          <w:rFonts w:hint="eastAsia" w:ascii="宋体" w:hAnsi="宋体" w:cs="Times New Roman"/>
          <w:snapToGrid w:val="0"/>
          <w:color w:val="auto"/>
          <w:kern w:val="0"/>
          <w:szCs w:val="21"/>
          <w:highlight w:val="none"/>
        </w:rPr>
        <w:t xml:space="preserve"> </w:t>
      </w:r>
      <w:r>
        <w:rPr>
          <w:rFonts w:hint="eastAsia" w:ascii="宋体" w:hAnsi="宋体" w:cs="Times New Roman"/>
          <w:snapToGrid w:val="0"/>
          <w:color w:val="auto"/>
          <w:kern w:val="0"/>
          <w:szCs w:val="21"/>
          <w:highlight w:val="none"/>
          <w:lang w:val="en-US" w:eastAsia="zh-CN"/>
        </w:rPr>
        <w:t>比选</w:t>
      </w:r>
      <w:r>
        <w:rPr>
          <w:rFonts w:hint="eastAsia" w:ascii="宋体" w:hAnsi="宋体" w:cs="Times New Roman"/>
          <w:snapToGrid w:val="0"/>
          <w:color w:val="auto"/>
          <w:kern w:val="0"/>
          <w:szCs w:val="21"/>
          <w:highlight w:val="none"/>
        </w:rPr>
        <w:t>范围：</w:t>
      </w:r>
    </w:p>
    <w:p w14:paraId="6C407E2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 xml:space="preserve">2.1 </w:t>
      </w:r>
      <w:r>
        <w:rPr>
          <w:rFonts w:hint="eastAsia" w:ascii="宋体" w:hAnsi="宋体" w:cs="Times New Roman"/>
          <w:snapToGrid w:val="0"/>
          <w:color w:val="auto"/>
          <w:kern w:val="0"/>
          <w:szCs w:val="21"/>
          <w:highlight w:val="none"/>
          <w:u w:val="none"/>
        </w:rPr>
        <w:t>完成</w:t>
      </w:r>
      <w:r>
        <w:rPr>
          <w:rFonts w:hint="eastAsia" w:ascii="宋体" w:hAnsi="宋体" w:cs="Times New Roman"/>
          <w:snapToGrid w:val="0"/>
          <w:color w:val="auto"/>
          <w:kern w:val="0"/>
          <w:szCs w:val="21"/>
          <w:highlight w:val="none"/>
          <w:u w:val="none"/>
          <w:lang w:eastAsia="zh-CN"/>
        </w:rPr>
        <w:t>广阳湾</w:t>
      </w:r>
      <w:r>
        <w:rPr>
          <w:rFonts w:hint="eastAsia" w:ascii="宋体" w:hAnsi="宋体" w:cs="Times New Roman"/>
          <w:snapToGrid w:val="0"/>
          <w:color w:val="auto"/>
          <w:kern w:val="0"/>
          <w:szCs w:val="21"/>
          <w:highlight w:val="none"/>
          <w:u w:val="none"/>
        </w:rPr>
        <w:t>通江人才社区</w:t>
      </w:r>
      <w:r>
        <w:rPr>
          <w:rFonts w:hint="eastAsia" w:ascii="宋体" w:hAnsi="宋体" w:cs="Times New Roman"/>
          <w:snapToGrid w:val="0"/>
          <w:color w:val="auto"/>
          <w:kern w:val="0"/>
          <w:szCs w:val="21"/>
          <w:highlight w:val="none"/>
          <w:u w:val="none"/>
          <w:lang w:eastAsia="zh-CN"/>
        </w:rPr>
        <w:t>（一期）</w:t>
      </w:r>
      <w:r>
        <w:rPr>
          <w:rFonts w:hint="eastAsia" w:ascii="宋体" w:hAnsi="宋体" w:cs="Times New Roman"/>
          <w:snapToGrid w:val="0"/>
          <w:color w:val="auto"/>
          <w:kern w:val="0"/>
          <w:szCs w:val="21"/>
          <w:highlight w:val="none"/>
          <w:u w:val="none"/>
        </w:rPr>
        <w:t>品牌设计工作，包括但不限于Logo、标识、slogan设计；</w:t>
      </w:r>
    </w:p>
    <w:p w14:paraId="750084A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2.</w:t>
      </w:r>
      <w:r>
        <w:rPr>
          <w:rFonts w:hint="eastAsia" w:ascii="宋体" w:hAnsi="宋体" w:cs="Times New Roman"/>
          <w:snapToGrid w:val="0"/>
          <w:color w:val="auto"/>
          <w:kern w:val="0"/>
          <w:szCs w:val="21"/>
          <w:highlight w:val="none"/>
          <w:u w:val="none"/>
        </w:rPr>
        <w:t>2</w:t>
      </w:r>
      <w:r>
        <w:rPr>
          <w:rFonts w:hint="eastAsia" w:ascii="宋体" w:hAnsi="宋体" w:cs="Times New Roman"/>
          <w:snapToGrid w:val="0"/>
          <w:color w:val="auto"/>
          <w:kern w:val="0"/>
          <w:szCs w:val="21"/>
          <w:highlight w:val="none"/>
          <w:u w:val="none"/>
          <w:lang w:val="en-US" w:eastAsia="zh-CN"/>
        </w:rPr>
        <w:t xml:space="preserve"> </w:t>
      </w:r>
      <w:r>
        <w:rPr>
          <w:rFonts w:hint="eastAsia" w:ascii="宋体" w:hAnsi="宋体" w:cs="Times New Roman"/>
          <w:snapToGrid w:val="0"/>
          <w:color w:val="auto"/>
          <w:kern w:val="0"/>
          <w:szCs w:val="21"/>
          <w:highlight w:val="none"/>
          <w:u w:val="none"/>
        </w:rPr>
        <w:t>形成品牌总体推广策略；</w:t>
      </w:r>
    </w:p>
    <w:p w14:paraId="5B11AC1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2.</w:t>
      </w:r>
      <w:r>
        <w:rPr>
          <w:rFonts w:hint="eastAsia" w:ascii="宋体" w:hAnsi="宋体" w:cs="Times New Roman"/>
          <w:snapToGrid w:val="0"/>
          <w:color w:val="auto"/>
          <w:kern w:val="0"/>
          <w:szCs w:val="21"/>
          <w:highlight w:val="none"/>
          <w:u w:val="none"/>
        </w:rPr>
        <w:t>3</w:t>
      </w:r>
      <w:r>
        <w:rPr>
          <w:rFonts w:hint="eastAsia" w:ascii="宋体" w:hAnsi="宋体" w:cs="Times New Roman"/>
          <w:snapToGrid w:val="0"/>
          <w:color w:val="auto"/>
          <w:kern w:val="0"/>
          <w:szCs w:val="21"/>
          <w:highlight w:val="none"/>
          <w:u w:val="none"/>
          <w:lang w:val="en-US" w:eastAsia="zh-CN"/>
        </w:rPr>
        <w:t xml:space="preserve"> </w:t>
      </w:r>
      <w:r>
        <w:rPr>
          <w:rFonts w:hint="eastAsia" w:ascii="宋体" w:hAnsi="宋体" w:cs="Times New Roman"/>
          <w:snapToGrid w:val="0"/>
          <w:color w:val="auto"/>
          <w:kern w:val="0"/>
          <w:szCs w:val="21"/>
          <w:highlight w:val="none"/>
          <w:u w:val="none"/>
        </w:rPr>
        <w:t>按照品牌推广方案，稳步推进项目推广营销工作，设计传播物料，包括但不限于推文撰写、创意设计、广告图文制作等；</w:t>
      </w:r>
    </w:p>
    <w:p w14:paraId="0F303C3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2.</w:t>
      </w:r>
      <w:r>
        <w:rPr>
          <w:rFonts w:hint="eastAsia" w:ascii="宋体" w:hAnsi="宋体" w:cs="Times New Roman"/>
          <w:snapToGrid w:val="0"/>
          <w:color w:val="auto"/>
          <w:kern w:val="0"/>
          <w:szCs w:val="21"/>
          <w:highlight w:val="none"/>
          <w:u w:val="none"/>
        </w:rPr>
        <w:t>4</w:t>
      </w:r>
      <w:r>
        <w:rPr>
          <w:rFonts w:hint="eastAsia" w:ascii="宋体" w:hAnsi="宋体" w:cs="Times New Roman"/>
          <w:snapToGrid w:val="0"/>
          <w:color w:val="auto"/>
          <w:kern w:val="0"/>
          <w:szCs w:val="21"/>
          <w:highlight w:val="none"/>
          <w:u w:val="none"/>
          <w:lang w:val="en-US" w:eastAsia="zh-CN"/>
        </w:rPr>
        <w:t xml:space="preserve"> </w:t>
      </w:r>
      <w:r>
        <w:rPr>
          <w:rFonts w:hint="eastAsia" w:ascii="宋体" w:hAnsi="宋体" w:cs="Times New Roman"/>
          <w:snapToGrid w:val="0"/>
          <w:color w:val="auto"/>
          <w:kern w:val="0"/>
          <w:szCs w:val="21"/>
          <w:highlight w:val="none"/>
          <w:u w:val="none"/>
        </w:rPr>
        <w:t>提供品牌入市的广告形象、推广画面及文案；</w:t>
      </w:r>
    </w:p>
    <w:p w14:paraId="76F5915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2.</w:t>
      </w:r>
      <w:r>
        <w:rPr>
          <w:rFonts w:hint="eastAsia" w:ascii="宋体" w:hAnsi="宋体" w:cs="Times New Roman"/>
          <w:snapToGrid w:val="0"/>
          <w:color w:val="auto"/>
          <w:kern w:val="0"/>
          <w:szCs w:val="21"/>
          <w:highlight w:val="none"/>
          <w:u w:val="none"/>
        </w:rPr>
        <w:t>5</w:t>
      </w:r>
      <w:r>
        <w:rPr>
          <w:rFonts w:hint="eastAsia" w:ascii="宋体" w:hAnsi="宋体" w:cs="Times New Roman"/>
          <w:snapToGrid w:val="0"/>
          <w:color w:val="auto"/>
          <w:kern w:val="0"/>
          <w:szCs w:val="21"/>
          <w:highlight w:val="none"/>
          <w:u w:val="none"/>
          <w:lang w:val="en-US" w:eastAsia="zh-CN"/>
        </w:rPr>
        <w:t xml:space="preserve"> </w:t>
      </w:r>
      <w:r>
        <w:rPr>
          <w:rFonts w:hint="eastAsia" w:ascii="宋体" w:hAnsi="宋体" w:cs="Times New Roman"/>
          <w:snapToGrid w:val="0"/>
          <w:color w:val="auto"/>
          <w:kern w:val="0"/>
          <w:szCs w:val="21"/>
          <w:highlight w:val="none"/>
          <w:u w:val="none"/>
        </w:rPr>
        <w:t xml:space="preserve"> 根据委托单位需求，完成项目筹开期间的其他营销宣传方案及内容设计。</w:t>
      </w:r>
    </w:p>
    <w:p w14:paraId="411129D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服务期：</w:t>
      </w:r>
      <w:r>
        <w:rPr>
          <w:rFonts w:hint="eastAsia" w:ascii="宋体" w:hAnsi="宋体"/>
          <w:snapToGrid w:val="0"/>
          <w:color w:val="auto"/>
          <w:kern w:val="0"/>
          <w:szCs w:val="21"/>
          <w:highlight w:val="none"/>
          <w:lang w:eastAsia="zh-CN"/>
        </w:rPr>
        <w:t>三个月</w:t>
      </w:r>
    </w:p>
    <w:p w14:paraId="36EF2527">
      <w:pPr>
        <w:pStyle w:val="5"/>
        <w:spacing w:before="100" w:after="100" w:line="460" w:lineRule="exact"/>
        <w:rPr>
          <w:rFonts w:ascii="宋体" w:hAnsi="宋体"/>
          <w:snapToGrid w:val="0"/>
          <w:color w:val="auto"/>
          <w:sz w:val="28"/>
          <w:szCs w:val="28"/>
          <w:highlight w:val="none"/>
        </w:rPr>
      </w:pPr>
      <w:bookmarkStart w:id="43" w:name="_Toc287620669"/>
      <w:bookmarkStart w:id="44" w:name="_Toc509218694"/>
      <w:bookmarkStart w:id="45" w:name="_Toc277082538"/>
      <w:bookmarkStart w:id="46" w:name="_Toc5240"/>
      <w:bookmarkStart w:id="47" w:name="_Toc430530418"/>
      <w:bookmarkStart w:id="48" w:name="_Toc1052"/>
      <w:bookmarkStart w:id="49" w:name="_Toc19513"/>
      <w:bookmarkStart w:id="50" w:name="_Toc200359240"/>
      <w:bookmarkStart w:id="51" w:name="_Toc200359429"/>
      <w:bookmarkStart w:id="52" w:name="_Toc224103301"/>
      <w:bookmarkStart w:id="53" w:name="_Toc28760773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3"/>
      <w:bookmarkEnd w:id="44"/>
      <w:bookmarkEnd w:id="45"/>
      <w:bookmarkEnd w:id="46"/>
      <w:bookmarkEnd w:id="47"/>
      <w:bookmarkEnd w:id="48"/>
      <w:bookmarkEnd w:id="49"/>
      <w:bookmarkEnd w:id="50"/>
      <w:bookmarkEnd w:id="51"/>
      <w:bookmarkEnd w:id="52"/>
      <w:bookmarkEnd w:id="53"/>
    </w:p>
    <w:p w14:paraId="5549492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4CDD75C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具备的资质条件：</w:t>
      </w:r>
      <w:r>
        <w:rPr>
          <w:rFonts w:hint="eastAsia" w:ascii="宋体" w:hAnsi="宋体"/>
          <w:snapToGrid w:val="0"/>
          <w:color w:val="auto"/>
          <w:kern w:val="0"/>
          <w:szCs w:val="21"/>
          <w:highlight w:val="none"/>
          <w:u w:val="single"/>
        </w:rPr>
        <w:t xml:space="preserve"> </w:t>
      </w:r>
      <w:bookmarkStart w:id="54" w:name="OLE_LINK2"/>
      <w:r>
        <w:rPr>
          <w:rFonts w:hint="eastAsia" w:ascii="宋体" w:hAnsi="宋体"/>
          <w:snapToGrid w:val="0"/>
          <w:color w:val="auto"/>
          <w:kern w:val="0"/>
          <w:szCs w:val="21"/>
          <w:highlight w:val="none"/>
          <w:u w:val="single"/>
          <w:lang w:val="en-US" w:eastAsia="zh-CN"/>
        </w:rPr>
        <w:t>具备工商行政部门办法的有效的营业执照</w:t>
      </w:r>
      <w:r>
        <w:rPr>
          <w:rFonts w:hint="eastAsia" w:ascii="宋体" w:hAnsi="宋体"/>
          <w:snapToGrid w:val="0"/>
          <w:color w:val="auto"/>
          <w:kern w:val="0"/>
          <w:szCs w:val="21"/>
          <w:highlight w:val="none"/>
          <w:u w:val="single"/>
        </w:rPr>
        <w:t xml:space="preserve"> </w:t>
      </w:r>
      <w:bookmarkEnd w:id="54"/>
      <w:r>
        <w:rPr>
          <w:rFonts w:hint="eastAsia" w:ascii="宋体" w:hAnsi="宋体"/>
          <w:snapToGrid w:val="0"/>
          <w:color w:val="auto"/>
          <w:kern w:val="0"/>
          <w:szCs w:val="21"/>
          <w:highlight w:val="none"/>
        </w:rPr>
        <w:t>；</w:t>
      </w:r>
    </w:p>
    <w:p w14:paraId="63E43343">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bookmarkStart w:id="55" w:name="OLE_LINK8"/>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还应在人员、设备、资金等方面具有相应的</w:t>
      </w:r>
      <w:r>
        <w:rPr>
          <w:rFonts w:hint="eastAsia" w:ascii="宋体" w:hAnsi="宋体"/>
          <w:snapToGrid w:val="0"/>
          <w:color w:val="auto"/>
          <w:kern w:val="0"/>
          <w:szCs w:val="21"/>
          <w:highlight w:val="none"/>
          <w:lang w:val="en-US" w:eastAsia="zh-CN"/>
        </w:rPr>
        <w:t>服务</w:t>
      </w:r>
      <w:r>
        <w:rPr>
          <w:rFonts w:hint="eastAsia" w:ascii="宋体" w:hAnsi="宋体"/>
          <w:snapToGrid w:val="0"/>
          <w:color w:val="auto"/>
          <w:kern w:val="0"/>
          <w:szCs w:val="21"/>
          <w:highlight w:val="none"/>
        </w:rPr>
        <w:t>能力，详见招标文件第二章</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须知前附表第1.4.1项内</w:t>
      </w:r>
      <w:bookmarkEnd w:id="55"/>
      <w:r>
        <w:rPr>
          <w:rFonts w:hint="eastAsia" w:ascii="宋体" w:hAnsi="宋体"/>
          <w:snapToGrid w:val="0"/>
          <w:color w:val="auto"/>
          <w:kern w:val="0"/>
          <w:szCs w:val="21"/>
          <w:highlight w:val="none"/>
        </w:rPr>
        <w:t>容。</w:t>
      </w:r>
    </w:p>
    <w:p w14:paraId="0E43F676">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 xml:space="preserve"> 不接受</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联合体投标。</w:t>
      </w:r>
    </w:p>
    <w:p w14:paraId="5080E1B2">
      <w:pPr>
        <w:pStyle w:val="5"/>
        <w:spacing w:before="100" w:after="100" w:line="460" w:lineRule="exact"/>
        <w:rPr>
          <w:rFonts w:ascii="宋体" w:hAnsi="宋体"/>
          <w:snapToGrid w:val="0"/>
          <w:color w:val="auto"/>
          <w:sz w:val="28"/>
          <w:szCs w:val="28"/>
          <w:highlight w:val="none"/>
        </w:rPr>
      </w:pPr>
      <w:bookmarkStart w:id="56" w:name="_Toc277082539"/>
      <w:bookmarkStart w:id="57" w:name="_Toc509218695"/>
      <w:bookmarkStart w:id="58" w:name="_Toc287607731"/>
      <w:bookmarkStart w:id="59" w:name="_Toc13751"/>
      <w:bookmarkStart w:id="60" w:name="_Toc430530419"/>
      <w:bookmarkStart w:id="61" w:name="_Toc224103302"/>
      <w:bookmarkStart w:id="62" w:name="_Toc200359241"/>
      <w:bookmarkStart w:id="63" w:name="_Toc200359430"/>
      <w:bookmarkStart w:id="64" w:name="_Toc4182"/>
      <w:bookmarkStart w:id="65" w:name="_Toc287620670"/>
      <w:bookmarkStart w:id="66" w:name="_Toc10508"/>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6"/>
      <w:bookmarkEnd w:id="57"/>
      <w:bookmarkEnd w:id="58"/>
      <w:bookmarkEnd w:id="59"/>
      <w:bookmarkEnd w:id="60"/>
      <w:bookmarkEnd w:id="61"/>
      <w:bookmarkEnd w:id="62"/>
      <w:bookmarkEnd w:id="63"/>
      <w:bookmarkEnd w:id="64"/>
      <w:bookmarkEnd w:id="65"/>
      <w:bookmarkEnd w:id="66"/>
    </w:p>
    <w:p w14:paraId="2E77F9E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6 </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7" w:name="OLE_LINK14"/>
      <w:r>
        <w:rPr>
          <w:rFonts w:hint="eastAsia" w:ascii="宋体" w:hAnsi="宋体"/>
          <w:snapToGrid w:val="0"/>
          <w:color w:val="auto"/>
          <w:kern w:val="0"/>
          <w:szCs w:val="21"/>
          <w:highlight w:val="none"/>
          <w:lang w:eastAsia="zh-CN"/>
        </w:rPr>
        <w:t>重庆广阳湾生态城投资发展集团有限公司官网（http://cq-gyw.com/）</w:t>
      </w:r>
      <w:bookmarkEnd w:id="67"/>
      <w:r>
        <w:rPr>
          <w:rFonts w:ascii="宋体" w:hAnsi="宋体"/>
          <w:snapToGrid w:val="0"/>
          <w:color w:val="auto"/>
          <w:kern w:val="0"/>
          <w:szCs w:val="21"/>
          <w:highlight w:val="none"/>
        </w:rPr>
        <w:t>下载招标文件</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工程量清单、图纸、澄清、修改、补充通知、最高限价通知等全部内容。不管下载与否都视为潜在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全部知晓有关招投标过程和全部内容。</w:t>
      </w:r>
    </w:p>
    <w:p w14:paraId="560BA74D">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4.2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提问时间从本公告发布至（北京时间）前</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8 </w:t>
      </w:r>
      <w:r>
        <w:rPr>
          <w:rFonts w:ascii="宋体" w:hAnsi="宋体"/>
          <w:snapToGrid w:val="0"/>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u w:val="none"/>
          <w:lang w:val="en-US" w:eastAsia="zh-CN"/>
        </w:rPr>
        <w:t>前，向代理机构或比选人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rPr>
        <w:t>。</w:t>
      </w:r>
    </w:p>
    <w:p w14:paraId="21359720">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10 </w:t>
      </w:r>
      <w:r>
        <w:rPr>
          <w:rFonts w:ascii="宋体" w:hAnsi="宋体"/>
          <w:snapToGrid w:val="0"/>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8" w:name="OLE_LINK15"/>
      <w:r>
        <w:rPr>
          <w:rFonts w:hint="eastAsia" w:ascii="宋体" w:hAnsi="宋体"/>
          <w:snapToGrid w:val="0"/>
          <w:color w:val="auto"/>
          <w:kern w:val="0"/>
          <w:szCs w:val="21"/>
          <w:highlight w:val="none"/>
          <w:lang w:eastAsia="zh-CN"/>
        </w:rPr>
        <w:t>重庆广阳湾生态城投资发展集团有限公司官网（http://cq-gyw.com/）</w:t>
      </w:r>
      <w:bookmarkEnd w:id="68"/>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453A42AC">
      <w:pPr>
        <w:pStyle w:val="5"/>
        <w:spacing w:before="100" w:after="100" w:line="460" w:lineRule="exact"/>
        <w:rPr>
          <w:rFonts w:ascii="宋体" w:hAnsi="宋体"/>
          <w:snapToGrid w:val="0"/>
          <w:color w:val="auto"/>
          <w:sz w:val="28"/>
          <w:szCs w:val="28"/>
          <w:highlight w:val="none"/>
        </w:rPr>
      </w:pPr>
      <w:bookmarkStart w:id="69" w:name="_Toc430530420"/>
      <w:bookmarkStart w:id="70" w:name="_Toc509218696"/>
      <w:bookmarkStart w:id="71" w:name="_Toc11595"/>
      <w:bookmarkStart w:id="72" w:name="_Toc28449"/>
      <w:bookmarkStart w:id="73" w:name="_Toc287607732"/>
      <w:bookmarkStart w:id="74" w:name="_Toc200359242"/>
      <w:bookmarkStart w:id="75" w:name="_Toc3893"/>
      <w:bookmarkStart w:id="76" w:name="_Toc224103303"/>
      <w:bookmarkStart w:id="77" w:name="_Toc287620671"/>
      <w:bookmarkStart w:id="78" w:name="_Toc277082540"/>
      <w:bookmarkStart w:id="79" w:name="_Toc200359431"/>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9"/>
      <w:bookmarkEnd w:id="70"/>
      <w:bookmarkEnd w:id="71"/>
      <w:bookmarkEnd w:id="72"/>
      <w:bookmarkEnd w:id="73"/>
      <w:bookmarkEnd w:id="74"/>
      <w:bookmarkEnd w:id="75"/>
      <w:bookmarkEnd w:id="76"/>
      <w:bookmarkEnd w:id="77"/>
      <w:bookmarkEnd w:id="78"/>
      <w:bookmarkEnd w:id="79"/>
    </w:p>
    <w:p w14:paraId="30B47F4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递交的截止时间（投标截止时间，下同）为</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14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bookmarkStart w:id="80" w:name="OLE_LINK4"/>
      <w:r>
        <w:rPr>
          <w:rFonts w:hint="eastAsia" w:ascii="宋体" w:hAnsi="宋体"/>
          <w:snapToGrid w:val="0"/>
          <w:color w:val="auto"/>
          <w:kern w:val="0"/>
          <w:szCs w:val="21"/>
          <w:highlight w:val="none"/>
          <w:u w:val="single"/>
          <w:lang w:eastAsia="zh-CN"/>
        </w:rPr>
        <w:t>天之瓴建设股份有限公司会议室（</w:t>
      </w:r>
      <w:bookmarkStart w:id="81" w:name="OLE_LINK13"/>
      <w:r>
        <w:rPr>
          <w:rFonts w:hint="eastAsia" w:ascii="宋体" w:hAnsi="宋体"/>
          <w:snapToGrid w:val="0"/>
          <w:color w:val="auto"/>
          <w:kern w:val="0"/>
          <w:szCs w:val="21"/>
          <w:highlight w:val="none"/>
          <w:u w:val="single"/>
          <w:lang w:eastAsia="zh-CN"/>
        </w:rPr>
        <w:t>重庆市南岸区通江大道214号</w:t>
      </w:r>
      <w:bookmarkEnd w:id="81"/>
      <w:r>
        <w:rPr>
          <w:rFonts w:hint="eastAsia" w:ascii="宋体" w:hAnsi="宋体"/>
          <w:snapToGrid w:val="0"/>
          <w:color w:val="auto"/>
          <w:kern w:val="0"/>
          <w:szCs w:val="21"/>
          <w:highlight w:val="none"/>
          <w:u w:val="single"/>
          <w:lang w:val="en-US" w:eastAsia="zh-CN"/>
        </w:rPr>
        <w:t>2栋2单元3-3</w:t>
      </w:r>
      <w:r>
        <w:rPr>
          <w:rFonts w:hint="eastAsia" w:ascii="宋体" w:hAnsi="宋体"/>
          <w:snapToGrid w:val="0"/>
          <w:color w:val="auto"/>
          <w:kern w:val="0"/>
          <w:szCs w:val="21"/>
          <w:highlight w:val="none"/>
          <w:u w:val="single"/>
          <w:lang w:eastAsia="zh-CN"/>
        </w:rPr>
        <w:t>）</w:t>
      </w:r>
      <w:bookmarkEnd w:id="8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CA960FB">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lang w:val="en-US" w:eastAsia="zh-CN"/>
        </w:rPr>
        <w:t xml:space="preserve"> </w:t>
      </w:r>
    </w:p>
    <w:p w14:paraId="6B28036E">
      <w:pPr>
        <w:autoSpaceDE w:val="0"/>
        <w:autoSpaceDN w:val="0"/>
        <w:adjustRightInd w:val="0"/>
        <w:snapToGrid w:val="0"/>
        <w:spacing w:line="450" w:lineRule="exact"/>
        <w:ind w:firstLine="422" w:firstLineChars="200"/>
        <w:rPr>
          <w:rFonts w:hint="eastAsia" w:ascii="宋体" w:hAnsi="宋体" w:eastAsia="宋体"/>
          <w:b/>
          <w:bCs/>
          <w:snapToGrid w:val="0"/>
          <w:color w:val="auto"/>
          <w:kern w:val="0"/>
          <w:szCs w:val="21"/>
          <w:highlight w:val="none"/>
          <w:lang w:val="en-US" w:eastAsia="zh-CN"/>
        </w:rPr>
      </w:pPr>
      <w:r>
        <w:rPr>
          <w:rFonts w:hint="eastAsia" w:ascii="宋体" w:hAnsi="宋体"/>
          <w:b/>
          <w:bCs/>
          <w:snapToGrid w:val="0"/>
          <w:color w:val="auto"/>
          <w:kern w:val="0"/>
          <w:szCs w:val="21"/>
          <w:highlight w:val="none"/>
          <w:lang w:val="en-US" w:eastAsia="zh-CN"/>
        </w:rPr>
        <w:t>注：本项目采取线上线下相结合的方式进行竞选报价，竞选人须在报价截止时间（网上报价起止时间以行采家网页公告时间为准）前完成行采家平台网上报价及现场</w:t>
      </w:r>
      <w:bookmarkStart w:id="82" w:name="OLE_LINK12"/>
      <w:r>
        <w:rPr>
          <w:rFonts w:hint="eastAsia" w:ascii="宋体" w:hAnsi="宋体"/>
          <w:b/>
          <w:bCs/>
          <w:snapToGrid w:val="0"/>
          <w:color w:val="auto"/>
          <w:kern w:val="0"/>
          <w:szCs w:val="21"/>
          <w:highlight w:val="none"/>
          <w:lang w:val="en-US" w:eastAsia="zh-CN"/>
        </w:rPr>
        <w:t>竞选文件</w:t>
      </w:r>
      <w:bookmarkEnd w:id="82"/>
      <w:r>
        <w:rPr>
          <w:rFonts w:hint="eastAsia" w:ascii="宋体" w:hAnsi="宋体"/>
          <w:b/>
          <w:bCs/>
          <w:snapToGrid w:val="0"/>
          <w:color w:val="auto"/>
          <w:kern w:val="0"/>
          <w:szCs w:val="21"/>
          <w:highlight w:val="none"/>
          <w:lang w:val="en-US" w:eastAsia="zh-CN"/>
        </w:rPr>
        <w:t>的递交，线上线下竞选总报价须保持一致，报价截止时间止未在行采家上发起报价的，其竞选文件不予受理。</w:t>
      </w:r>
    </w:p>
    <w:p w14:paraId="369B9418">
      <w:pPr>
        <w:pStyle w:val="5"/>
        <w:spacing w:before="100" w:after="100" w:line="460" w:lineRule="exact"/>
        <w:rPr>
          <w:rFonts w:ascii="宋体" w:hAnsi="宋体"/>
          <w:snapToGrid w:val="0"/>
          <w:color w:val="auto"/>
          <w:sz w:val="28"/>
          <w:szCs w:val="28"/>
          <w:highlight w:val="none"/>
        </w:rPr>
      </w:pPr>
      <w:bookmarkStart w:id="83" w:name="_Toc8166"/>
      <w:bookmarkStart w:id="84" w:name="_Toc9905"/>
      <w:bookmarkStart w:id="85" w:name="_Toc287607733"/>
      <w:bookmarkStart w:id="86" w:name="_Toc200359432"/>
      <w:bookmarkStart w:id="87" w:name="_Toc430530421"/>
      <w:bookmarkStart w:id="88" w:name="_Toc287620672"/>
      <w:bookmarkStart w:id="89" w:name="_Toc200359243"/>
      <w:bookmarkStart w:id="90" w:name="_Toc224103304"/>
      <w:bookmarkStart w:id="91" w:name="_Toc509218697"/>
      <w:bookmarkStart w:id="92" w:name="_Toc19071"/>
      <w:bookmarkStart w:id="93" w:name="_Toc277082541"/>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83"/>
      <w:bookmarkEnd w:id="84"/>
      <w:bookmarkEnd w:id="85"/>
      <w:bookmarkEnd w:id="86"/>
      <w:bookmarkEnd w:id="87"/>
      <w:bookmarkEnd w:id="88"/>
      <w:bookmarkEnd w:id="89"/>
      <w:bookmarkEnd w:id="90"/>
      <w:bookmarkEnd w:id="91"/>
      <w:bookmarkEnd w:id="92"/>
      <w:bookmarkEnd w:id="93"/>
    </w:p>
    <w:p w14:paraId="62FBF6C4">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比选公告同时</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行采家(https://www.gec123.com/）</w:t>
      </w:r>
      <w:r>
        <w:rPr>
          <w:rFonts w:hint="eastAsia" w:ascii="宋体" w:hAnsi="宋体"/>
          <w:snapToGrid w:val="0"/>
          <w:color w:val="auto"/>
          <w:kern w:val="0"/>
          <w:szCs w:val="21"/>
          <w:highlight w:val="none"/>
          <w:u w:val="single"/>
          <w:lang w:eastAsia="zh-CN"/>
        </w:rPr>
        <w:t>、重庆广阳湾生态城投资发展集团有限公司官网（http://cq-gyw.com/）</w:t>
      </w:r>
      <w:r>
        <w:rPr>
          <w:rFonts w:ascii="宋体" w:hAnsi="宋体"/>
          <w:snapToGrid w:val="0"/>
          <w:color w:val="auto"/>
          <w:kern w:val="0"/>
          <w:szCs w:val="21"/>
          <w:highlight w:val="none"/>
        </w:rPr>
        <w:t>上发布。</w:t>
      </w:r>
    </w:p>
    <w:p w14:paraId="51722876">
      <w:pPr>
        <w:pStyle w:val="5"/>
        <w:spacing w:before="100" w:after="100" w:line="460" w:lineRule="exact"/>
        <w:rPr>
          <w:rFonts w:ascii="宋体" w:hAnsi="宋体"/>
          <w:snapToGrid w:val="0"/>
          <w:color w:val="auto"/>
          <w:sz w:val="28"/>
          <w:szCs w:val="28"/>
          <w:highlight w:val="none"/>
        </w:rPr>
      </w:pPr>
      <w:bookmarkStart w:id="94" w:name="_Toc31352"/>
      <w:bookmarkStart w:id="95" w:name="_Toc14240"/>
      <w:bookmarkStart w:id="96" w:name="_Toc277082542"/>
      <w:bookmarkStart w:id="97" w:name="_Toc287620673"/>
      <w:bookmarkStart w:id="98" w:name="_Toc509218698"/>
      <w:bookmarkStart w:id="99" w:name="_Toc18976"/>
      <w:bookmarkStart w:id="100" w:name="_Toc430530422"/>
      <w:bookmarkStart w:id="101" w:name="_Toc224103305"/>
      <w:bookmarkStart w:id="102" w:name="_Toc769"/>
      <w:bookmarkStart w:id="103" w:name="_Toc287607734"/>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94"/>
      <w:bookmarkEnd w:id="95"/>
      <w:bookmarkStart w:id="104" w:name="_Toc589"/>
      <w:r>
        <w:rPr>
          <w:rFonts w:ascii="宋体" w:hAnsi="宋体"/>
          <w:snapToGrid w:val="0"/>
          <w:color w:val="auto"/>
          <w:sz w:val="28"/>
          <w:szCs w:val="28"/>
          <w:highlight w:val="none"/>
        </w:rPr>
        <w:t>联系方式</w:t>
      </w:r>
      <w:bookmarkEnd w:id="96"/>
      <w:bookmarkEnd w:id="97"/>
      <w:bookmarkEnd w:id="98"/>
      <w:bookmarkEnd w:id="99"/>
      <w:bookmarkEnd w:id="100"/>
      <w:bookmarkEnd w:id="101"/>
      <w:bookmarkEnd w:id="102"/>
      <w:bookmarkEnd w:id="103"/>
      <w:bookmarkEnd w:id="104"/>
    </w:p>
    <w:p w14:paraId="7F25AD5E">
      <w:pPr>
        <w:tabs>
          <w:tab w:val="left" w:pos="5140"/>
          <w:tab w:val="left" w:pos="8520"/>
        </w:tabs>
        <w:autoSpaceDE w:val="0"/>
        <w:autoSpaceDN w:val="0"/>
        <w:adjustRightInd w:val="0"/>
        <w:snapToGrid w:val="0"/>
        <w:spacing w:line="450" w:lineRule="exact"/>
        <w:jc w:val="left"/>
        <w:rPr>
          <w:rFonts w:hint="eastAsia" w:ascii="宋体" w:hAnsi="宋体"/>
          <w:snapToGrid w:val="0"/>
          <w:color w:val="auto"/>
          <w:kern w:val="0"/>
          <w:szCs w:val="21"/>
          <w:highlight w:val="none"/>
          <w:u w:val="none"/>
          <w:lang w:eastAsia="zh-CN"/>
        </w:rPr>
      </w:pPr>
      <w:bookmarkStart w:id="105" w:name="_Toc287607744"/>
      <w:bookmarkStart w:id="106" w:name="_Toc430530432"/>
      <w:bookmarkStart w:id="107" w:name="_Toc224103315"/>
      <w:bookmarkStart w:id="108" w:name="_Toc287620683"/>
      <w:bookmarkStart w:id="109" w:name="_Toc32148"/>
      <w:r>
        <w:rPr>
          <w:rFonts w:hint="eastAsia" w:ascii="宋体" w:hAnsi="宋体"/>
          <w:snapToGrid w:val="0"/>
          <w:color w:val="auto"/>
          <w:kern w:val="0"/>
          <w:szCs w:val="21"/>
          <w:highlight w:val="none"/>
          <w:u w:val="none"/>
          <w:lang w:val="en-US" w:eastAsia="zh-CN"/>
        </w:rPr>
        <w:t>比选</w:t>
      </w:r>
      <w:r>
        <w:rPr>
          <w:rFonts w:ascii="宋体" w:hAnsi="宋体"/>
          <w:snapToGrid w:val="0"/>
          <w:color w:val="auto"/>
          <w:kern w:val="0"/>
          <w:szCs w:val="21"/>
          <w:highlight w:val="none"/>
          <w:u w:val="none"/>
        </w:rPr>
        <w:t>人：</w:t>
      </w:r>
      <w:bookmarkStart w:id="110" w:name="OLE_LINK7"/>
      <w:r>
        <w:rPr>
          <w:rFonts w:hint="eastAsia" w:ascii="宋体" w:hAnsi="宋体"/>
          <w:snapToGrid w:val="0"/>
          <w:color w:val="auto"/>
          <w:kern w:val="0"/>
          <w:szCs w:val="21"/>
          <w:highlight w:val="none"/>
          <w:u w:val="none"/>
        </w:rPr>
        <w:t>重庆乾睿置业发展有限公司</w:t>
      </w:r>
      <w:bookmarkEnd w:id="110"/>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比选</w:t>
      </w:r>
      <w:r>
        <w:rPr>
          <w:rFonts w:ascii="宋体" w:hAnsi="宋体"/>
          <w:snapToGrid w:val="0"/>
          <w:color w:val="auto"/>
          <w:kern w:val="0"/>
          <w:szCs w:val="21"/>
          <w:highlight w:val="none"/>
          <w:u w:val="none"/>
        </w:rPr>
        <w:t>代理机构</w:t>
      </w:r>
      <w:r>
        <w:rPr>
          <w:rFonts w:hint="eastAsia" w:ascii="宋体" w:hAnsi="宋体"/>
          <w:snapToGrid w:val="0"/>
          <w:color w:val="auto"/>
          <w:kern w:val="0"/>
          <w:szCs w:val="21"/>
          <w:highlight w:val="none"/>
          <w:u w:val="none"/>
          <w:lang w:eastAsia="zh-CN"/>
        </w:rPr>
        <w:t>：天之瓴建设股份有限公司</w:t>
      </w:r>
    </w:p>
    <w:p w14:paraId="7E4F8890">
      <w:pPr>
        <w:tabs>
          <w:tab w:val="left" w:pos="5140"/>
          <w:tab w:val="left" w:pos="8420"/>
        </w:tabs>
        <w:autoSpaceDE w:val="0"/>
        <w:autoSpaceDN w:val="0"/>
        <w:adjustRightInd w:val="0"/>
        <w:snapToGrid w:val="0"/>
        <w:spacing w:line="450" w:lineRule="exact"/>
        <w:jc w:val="left"/>
        <w:rPr>
          <w:rFonts w:hint="eastAsia" w:ascii="宋体" w:hAnsi="宋体" w:eastAsia="宋体"/>
          <w:snapToGrid w:val="0"/>
          <w:color w:val="auto"/>
          <w:kern w:val="0"/>
          <w:szCs w:val="21"/>
          <w:highlight w:val="none"/>
          <w:u w:val="none"/>
          <w:lang w:eastAsia="zh-CN"/>
        </w:rPr>
      </w:pPr>
      <w:r>
        <w:rPr>
          <w:rFonts w:ascii="宋体" w:hAnsi="宋体"/>
          <w:snapToGrid w:val="0"/>
          <w:color w:val="auto"/>
          <w:kern w:val="0"/>
          <w:szCs w:val="21"/>
          <w:highlight w:val="none"/>
          <w:u w:val="none"/>
        </w:rPr>
        <w:t xml:space="preserve">地址： </w:t>
      </w:r>
      <w:r>
        <w:rPr>
          <w:rFonts w:hint="eastAsia" w:ascii="宋体" w:hAnsi="宋体"/>
          <w:snapToGrid w:val="0"/>
          <w:color w:val="auto"/>
          <w:kern w:val="0"/>
          <w:szCs w:val="21"/>
          <w:highlight w:val="none"/>
          <w:u w:val="none"/>
        </w:rPr>
        <w:t>重庆市南岸区茶园江桥路一号附1号</w:t>
      </w:r>
      <w:r>
        <w:rPr>
          <w:rFonts w:ascii="宋体" w:hAnsi="宋体"/>
          <w:snapToGrid w:val="0"/>
          <w:color w:val="auto"/>
          <w:kern w:val="0"/>
          <w:szCs w:val="21"/>
          <w:highlight w:val="none"/>
          <w:u w:val="none"/>
        </w:rPr>
        <w:t xml:space="preserve">    地址：</w:t>
      </w:r>
      <w:r>
        <w:rPr>
          <w:rFonts w:hint="eastAsia" w:ascii="宋体" w:hAnsi="宋体"/>
          <w:snapToGrid w:val="0"/>
          <w:color w:val="auto"/>
          <w:kern w:val="0"/>
          <w:szCs w:val="21"/>
          <w:highlight w:val="none"/>
          <w:u w:val="none"/>
        </w:rPr>
        <w:t>重庆市南岸区通江大道214号2栋2单元3-3</w:t>
      </w:r>
    </w:p>
    <w:p w14:paraId="44197D02">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lang w:val="en-US" w:eastAsia="zh-CN"/>
        </w:rPr>
        <w:t>唐菲</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rPr>
        <w:t>阳老师</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230FAD0A">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lang w:val="en-US" w:eastAsia="zh-CN"/>
        </w:rPr>
        <w:t>023-62823880</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rPr>
        <w:t xml:space="preserve">023-62652790  </w:t>
      </w:r>
      <w:r>
        <w:rPr>
          <w:rFonts w:hint="eastAsia" w:ascii="宋体" w:hAnsi="宋体"/>
          <w:snapToGrid w:val="0"/>
          <w:color w:val="auto"/>
          <w:kern w:val="0"/>
          <w:szCs w:val="21"/>
          <w:highlight w:val="none"/>
          <w:u w:val="none"/>
          <w:lang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1818FD12">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78A407F7">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7DE92ACE">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2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6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59A3A29">
      <w:pPr>
        <w:pStyle w:val="4"/>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453112CD">
      <w:pPr>
        <w:pStyle w:val="4"/>
        <w:spacing w:line="360" w:lineRule="auto"/>
        <w:jc w:val="center"/>
        <w:rPr>
          <w:rFonts w:ascii="宋体" w:hAnsi="宋体"/>
          <w:bCs w:val="0"/>
          <w:snapToGrid w:val="0"/>
          <w:color w:val="auto"/>
          <w:kern w:val="0"/>
          <w:highlight w:val="none"/>
        </w:rPr>
      </w:pPr>
      <w:bookmarkStart w:id="111" w:name="_Toc28579"/>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105"/>
      <w:bookmarkEnd w:id="106"/>
      <w:bookmarkEnd w:id="107"/>
      <w:bookmarkEnd w:id="108"/>
      <w:bookmarkEnd w:id="109"/>
      <w:bookmarkEnd w:id="111"/>
      <w:bookmarkStart w:id="112" w:name="_Toc287620684"/>
      <w:bookmarkStart w:id="113" w:name="_Toc224103316"/>
      <w:bookmarkStart w:id="114" w:name="_Toc430530433"/>
      <w:bookmarkStart w:id="115" w:name="_Toc287607745"/>
      <w:bookmarkStart w:id="116" w:name="_Toc277082551"/>
    </w:p>
    <w:p w14:paraId="0B3E55AF">
      <w:pPr>
        <w:pStyle w:val="5"/>
        <w:spacing w:before="100" w:after="100" w:line="360" w:lineRule="auto"/>
        <w:rPr>
          <w:rFonts w:ascii="宋体" w:hAnsi="宋体"/>
          <w:color w:val="auto"/>
          <w:highlight w:val="none"/>
        </w:rPr>
      </w:pPr>
      <w:bookmarkStart w:id="117" w:name="_Toc21400"/>
      <w:bookmarkStart w:id="118" w:name="_Toc31303"/>
      <w:bookmarkStart w:id="119" w:name="_Toc8005"/>
      <w:bookmarkStart w:id="120" w:name="_Toc509218708"/>
      <w:r>
        <w:rPr>
          <w:rFonts w:hint="eastAsia" w:ascii="宋体" w:hAnsi="宋体"/>
          <w:color w:val="auto"/>
          <w:highlight w:val="none"/>
          <w:lang w:eastAsia="zh-CN"/>
        </w:rPr>
        <w:t>竞选人</w:t>
      </w:r>
      <w:r>
        <w:rPr>
          <w:rFonts w:hint="eastAsia" w:ascii="宋体" w:hAnsi="宋体"/>
          <w:color w:val="auto"/>
          <w:highlight w:val="none"/>
        </w:rPr>
        <w:t>须知前附表</w:t>
      </w:r>
      <w:bookmarkEnd w:id="112"/>
      <w:bookmarkEnd w:id="113"/>
      <w:bookmarkEnd w:id="114"/>
      <w:bookmarkEnd w:id="115"/>
      <w:bookmarkEnd w:id="116"/>
      <w:bookmarkEnd w:id="117"/>
      <w:bookmarkEnd w:id="118"/>
      <w:bookmarkEnd w:id="119"/>
      <w:bookmarkEnd w:id="120"/>
    </w:p>
    <w:p w14:paraId="1D81E265">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1C078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095AF16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02516DF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059CB9F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3C4F2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8B1C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7A726CE1">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7CE01CB1">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重庆乾睿置业发展有限公司</w:t>
            </w:r>
          </w:p>
          <w:p w14:paraId="5FFA649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地址：重庆市南岸区江桥路一号附1号</w:t>
            </w:r>
          </w:p>
          <w:p w14:paraId="1B37B190">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eastAsia="zh-CN"/>
              </w:rPr>
              <w:t>唐菲</w:t>
            </w:r>
          </w:p>
          <w:p w14:paraId="0038EE65">
            <w:pPr>
              <w:spacing w:line="400" w:lineRule="exact"/>
              <w:rPr>
                <w:rFonts w:ascii="宋体" w:hAnsi="宋体"/>
                <w:color w:val="auto"/>
                <w:kern w:val="0"/>
                <w:szCs w:val="21"/>
                <w:highlight w:val="none"/>
              </w:rPr>
            </w:pPr>
            <w:r>
              <w:rPr>
                <w:rFonts w:hint="eastAsia" w:ascii="宋体" w:hAnsi="宋体" w:eastAsia="宋体" w:cs="宋体"/>
                <w:color w:val="auto"/>
                <w:szCs w:val="21"/>
                <w:highlight w:val="none"/>
              </w:rPr>
              <w:t>电话 ：</w:t>
            </w:r>
            <w:r>
              <w:rPr>
                <w:rFonts w:hint="eastAsia" w:ascii="宋体" w:hAnsi="宋体" w:cs="宋体"/>
                <w:color w:val="auto"/>
                <w:szCs w:val="21"/>
                <w:highlight w:val="none"/>
                <w:lang w:eastAsia="zh-CN"/>
              </w:rPr>
              <w:t>023-62823880</w:t>
            </w:r>
            <w:r>
              <w:rPr>
                <w:rFonts w:hint="eastAsia" w:ascii="宋体" w:hAnsi="宋体" w:eastAsia="宋体" w:cs="宋体"/>
                <w:color w:val="auto"/>
                <w:szCs w:val="21"/>
                <w:highlight w:val="none"/>
              </w:rPr>
              <w:t xml:space="preserve">  </w:t>
            </w:r>
          </w:p>
        </w:tc>
      </w:tr>
      <w:tr w14:paraId="1E6C9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B02E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B3C8693">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556C0E01">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 xml:space="preserve">天之瓴建设股份有限公司 </w:t>
            </w:r>
          </w:p>
          <w:p w14:paraId="399022F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地址：重庆市南岸区通江大道214号2栋2单元3-3</w:t>
            </w:r>
          </w:p>
          <w:p w14:paraId="56D74A47">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snapToGrid w:val="0"/>
                <w:color w:val="auto"/>
                <w:kern w:val="0"/>
                <w:szCs w:val="21"/>
                <w:highlight w:val="none"/>
                <w:u w:val="none"/>
                <w:lang w:eastAsia="zh-CN"/>
              </w:rPr>
              <w:t xml:space="preserve">阳老师 </w:t>
            </w:r>
            <w:r>
              <w:rPr>
                <w:rFonts w:ascii="宋体" w:hAnsi="宋体"/>
                <w:snapToGrid w:val="0"/>
                <w:color w:val="auto"/>
                <w:kern w:val="0"/>
                <w:szCs w:val="21"/>
                <w:highlight w:val="none"/>
                <w:u w:val="none"/>
              </w:rPr>
              <w:t xml:space="preserve"> </w:t>
            </w:r>
          </w:p>
          <w:p w14:paraId="7474DA84">
            <w:pPr>
              <w:spacing w:line="400" w:lineRule="exact"/>
              <w:rPr>
                <w:rFonts w:hint="eastAsia" w:ascii="宋体" w:hAnsi="宋体" w:eastAsia="宋体"/>
                <w:color w:val="auto"/>
                <w:kern w:val="0"/>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 xml:space="preserve">023-62652790      </w:t>
            </w:r>
          </w:p>
        </w:tc>
      </w:tr>
      <w:tr w14:paraId="50E09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F2A3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5E8FFF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3D1F8430">
            <w:pPr>
              <w:snapToGrid w:val="0"/>
              <w:spacing w:line="400" w:lineRule="exact"/>
              <w:jc w:val="left"/>
              <w:rPr>
                <w:rFonts w:hint="eastAsia" w:ascii="宋体" w:hAnsi="宋体" w:eastAsia="宋体"/>
                <w:color w:val="auto"/>
                <w:szCs w:val="21"/>
                <w:highlight w:val="none"/>
                <w:lang w:eastAsia="zh-CN"/>
              </w:rPr>
            </w:pPr>
            <w:bookmarkStart w:id="121" w:name="OLE_LINK9"/>
            <w:r>
              <w:rPr>
                <w:rFonts w:hint="eastAsia" w:ascii="宋体" w:hAnsi="宋体"/>
                <w:color w:val="auto"/>
                <w:szCs w:val="21"/>
                <w:highlight w:val="none"/>
                <w:lang w:val="en-US" w:eastAsia="zh-CN"/>
              </w:rPr>
              <w:t>广阳湾通江人才社区（一期）项目品牌设计及营销服务</w:t>
            </w:r>
            <w:r>
              <w:rPr>
                <w:rFonts w:hint="eastAsia" w:ascii="宋体" w:hAnsi="宋体"/>
                <w:color w:val="auto"/>
                <w:szCs w:val="21"/>
                <w:highlight w:val="none"/>
                <w:lang w:eastAsia="zh-CN"/>
              </w:rPr>
              <w:t xml:space="preserve">  </w:t>
            </w:r>
            <w:bookmarkEnd w:id="121"/>
          </w:p>
        </w:tc>
      </w:tr>
      <w:tr w14:paraId="3940A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9903F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A62D87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服务地点</w:t>
            </w:r>
          </w:p>
        </w:tc>
        <w:tc>
          <w:tcPr>
            <w:tcW w:w="6490" w:type="dxa"/>
            <w:vAlign w:val="center"/>
          </w:tcPr>
          <w:p w14:paraId="7B571AAC">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重庆市南岸区</w:t>
            </w:r>
            <w:r>
              <w:rPr>
                <w:rFonts w:hint="eastAsia" w:ascii="宋体" w:hAnsi="宋体"/>
                <w:snapToGrid w:val="0"/>
                <w:color w:val="auto"/>
                <w:kern w:val="0"/>
                <w:szCs w:val="21"/>
                <w:highlight w:val="none"/>
                <w:lang w:val="en-US" w:eastAsia="zh-CN"/>
              </w:rPr>
              <w:t>茶园经开区</w:t>
            </w:r>
            <w:r>
              <w:rPr>
                <w:rFonts w:hint="eastAsia" w:ascii="宋体" w:hAnsi="宋体"/>
                <w:snapToGrid w:val="0"/>
                <w:color w:val="auto"/>
                <w:kern w:val="0"/>
                <w:szCs w:val="21"/>
                <w:highlight w:val="none"/>
                <w:u w:val="none"/>
                <w:lang w:eastAsia="zh-CN"/>
              </w:rPr>
              <w:t>。</w:t>
            </w:r>
          </w:p>
        </w:tc>
      </w:tr>
      <w:tr w14:paraId="73F03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9306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98365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7E4E0450">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p>
        </w:tc>
      </w:tr>
      <w:tr w14:paraId="780ED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3FE6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6E979E0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7C0DECC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2F646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90D1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1F5C13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5336520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417BA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20D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662E00A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490" w:type="dxa"/>
            <w:vAlign w:val="center"/>
          </w:tcPr>
          <w:p w14:paraId="0DCA55AC">
            <w:pPr>
              <w:snapToGrid w:val="0"/>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1.完成</w:t>
            </w:r>
            <w:r>
              <w:rPr>
                <w:rFonts w:hint="eastAsia" w:ascii="宋体" w:hAnsi="宋体" w:cs="Times New Roman"/>
                <w:color w:val="auto"/>
                <w:szCs w:val="21"/>
                <w:highlight w:val="none"/>
                <w:lang w:eastAsia="zh-CN"/>
              </w:rPr>
              <w:t>广阳湾</w:t>
            </w:r>
            <w:r>
              <w:rPr>
                <w:rFonts w:hint="eastAsia" w:ascii="宋体" w:hAnsi="宋体" w:cs="Times New Roman"/>
                <w:color w:val="auto"/>
                <w:szCs w:val="21"/>
                <w:highlight w:val="none"/>
              </w:rPr>
              <w:t>通江人才社区</w:t>
            </w:r>
            <w:r>
              <w:rPr>
                <w:rFonts w:hint="eastAsia" w:ascii="宋体" w:hAnsi="宋体" w:cs="Times New Roman"/>
                <w:color w:val="auto"/>
                <w:szCs w:val="21"/>
                <w:highlight w:val="none"/>
                <w:lang w:eastAsia="zh-CN"/>
              </w:rPr>
              <w:t>（一期）</w:t>
            </w:r>
            <w:r>
              <w:rPr>
                <w:rFonts w:hint="eastAsia" w:ascii="宋体" w:hAnsi="宋体" w:cs="Times New Roman"/>
                <w:color w:val="auto"/>
                <w:szCs w:val="21"/>
                <w:highlight w:val="none"/>
              </w:rPr>
              <w:t>品牌设计工作，包括但不限于Logo、标识、slogan设计；</w:t>
            </w:r>
          </w:p>
          <w:p w14:paraId="20F294B7">
            <w:pPr>
              <w:snapToGrid w:val="0"/>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2.形成品牌总体推广策略；</w:t>
            </w:r>
          </w:p>
          <w:p w14:paraId="240B9ED9">
            <w:pPr>
              <w:snapToGrid w:val="0"/>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3.按照品牌推广方案，稳步推进项目推广营销工作，设计传播物料，包括但不限于推文撰写、创意设计、广告图文制作等；</w:t>
            </w:r>
          </w:p>
          <w:p w14:paraId="3700ED09">
            <w:pPr>
              <w:snapToGrid w:val="0"/>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4.提供品牌入市的广告形象、推广画面及文案；</w:t>
            </w:r>
          </w:p>
          <w:p w14:paraId="27D0AC30">
            <w:pPr>
              <w:snapToGrid w:val="0"/>
              <w:spacing w:line="400" w:lineRule="exact"/>
              <w:ind w:firstLine="420" w:firstLineChars="200"/>
              <w:rPr>
                <w:rFonts w:ascii="宋体" w:hAnsi="宋体"/>
                <w:i/>
                <w:color w:val="auto"/>
                <w:szCs w:val="21"/>
                <w:highlight w:val="none"/>
              </w:rPr>
            </w:pPr>
            <w:r>
              <w:rPr>
                <w:rFonts w:hint="eastAsia" w:ascii="宋体" w:hAnsi="宋体" w:cs="Times New Roman"/>
                <w:color w:val="auto"/>
                <w:szCs w:val="21"/>
                <w:highlight w:val="none"/>
              </w:rPr>
              <w:t>5. 根据委托单位需求，完成项目筹开期间的其他营销宣传方案及内容设计。</w:t>
            </w:r>
          </w:p>
        </w:tc>
      </w:tr>
      <w:tr w14:paraId="762C6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14B1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6719D75A">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计划服务期</w:t>
            </w:r>
          </w:p>
        </w:tc>
        <w:tc>
          <w:tcPr>
            <w:tcW w:w="6490" w:type="dxa"/>
            <w:vAlign w:val="center"/>
          </w:tcPr>
          <w:p w14:paraId="67F9A0FB">
            <w:pPr>
              <w:snapToGrid w:val="0"/>
              <w:spacing w:line="400" w:lineRule="exact"/>
              <w:ind w:firstLine="420" w:firstLineChars="200"/>
              <w:rPr>
                <w:rFonts w:ascii="宋体" w:hAnsi="宋体"/>
                <w:color w:val="auto"/>
                <w:kern w:val="0"/>
                <w:szCs w:val="21"/>
                <w:highlight w:val="none"/>
              </w:rPr>
            </w:pPr>
            <w:r>
              <w:rPr>
                <w:rFonts w:hint="eastAsia" w:ascii="宋体" w:hAnsi="宋体" w:cs="Times New Roman"/>
                <w:snapToGrid w:val="0"/>
                <w:color w:val="auto"/>
                <w:kern w:val="0"/>
                <w:szCs w:val="21"/>
                <w:highlight w:val="none"/>
                <w:u w:val="none"/>
                <w:lang w:eastAsia="zh-CN"/>
              </w:rPr>
              <w:t>三个月</w:t>
            </w:r>
          </w:p>
        </w:tc>
      </w:tr>
      <w:tr w14:paraId="02E88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D3D47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0EA6851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623F4773">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以</w:t>
            </w:r>
            <w:r>
              <w:rPr>
                <w:rFonts w:hint="eastAsia" w:ascii="宋体" w:hAnsi="宋体"/>
                <w:color w:val="auto"/>
                <w:szCs w:val="21"/>
                <w:highlight w:val="none"/>
              </w:rPr>
              <w:t>符合</w:t>
            </w:r>
            <w:r>
              <w:rPr>
                <w:rFonts w:hint="eastAsia" w:ascii="宋体" w:hAnsi="宋体"/>
                <w:color w:val="auto"/>
                <w:szCs w:val="21"/>
                <w:highlight w:val="none"/>
                <w:lang w:eastAsia="zh-CN"/>
              </w:rPr>
              <w:t>招标人要求为准。</w:t>
            </w:r>
          </w:p>
        </w:tc>
      </w:tr>
      <w:tr w14:paraId="2D269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7C20CBCB">
            <w:pPr>
              <w:snapToGrid w:val="0"/>
              <w:spacing w:line="400" w:lineRule="exact"/>
              <w:jc w:val="center"/>
              <w:rPr>
                <w:rFonts w:ascii="宋体" w:hAnsi="宋体"/>
                <w:color w:val="auto"/>
                <w:kern w:val="0"/>
                <w:szCs w:val="21"/>
                <w:highlight w:val="none"/>
              </w:rPr>
            </w:pPr>
          </w:p>
          <w:p w14:paraId="4AD4C2E3">
            <w:pPr>
              <w:snapToGrid w:val="0"/>
              <w:spacing w:line="400" w:lineRule="exact"/>
              <w:jc w:val="center"/>
              <w:rPr>
                <w:rFonts w:ascii="宋体" w:hAnsi="宋体"/>
                <w:color w:val="auto"/>
                <w:kern w:val="0"/>
                <w:szCs w:val="21"/>
                <w:highlight w:val="none"/>
              </w:rPr>
            </w:pPr>
          </w:p>
          <w:p w14:paraId="4D11C532">
            <w:pPr>
              <w:snapToGrid w:val="0"/>
              <w:spacing w:line="400" w:lineRule="exact"/>
              <w:jc w:val="center"/>
              <w:rPr>
                <w:rFonts w:ascii="宋体" w:hAnsi="宋体"/>
                <w:color w:val="auto"/>
                <w:kern w:val="0"/>
                <w:szCs w:val="21"/>
                <w:highlight w:val="none"/>
              </w:rPr>
            </w:pPr>
          </w:p>
          <w:p w14:paraId="413DA9D5">
            <w:pPr>
              <w:snapToGrid w:val="0"/>
              <w:spacing w:line="400" w:lineRule="exact"/>
              <w:jc w:val="center"/>
              <w:rPr>
                <w:rFonts w:ascii="宋体" w:hAnsi="宋体"/>
                <w:color w:val="auto"/>
                <w:kern w:val="0"/>
                <w:szCs w:val="21"/>
                <w:highlight w:val="none"/>
              </w:rPr>
            </w:pPr>
          </w:p>
          <w:p w14:paraId="1B576E2C">
            <w:pPr>
              <w:snapToGrid w:val="0"/>
              <w:spacing w:line="400" w:lineRule="exact"/>
              <w:jc w:val="center"/>
              <w:rPr>
                <w:rFonts w:ascii="宋体" w:hAnsi="宋体"/>
                <w:color w:val="auto"/>
                <w:kern w:val="0"/>
                <w:szCs w:val="21"/>
                <w:highlight w:val="none"/>
              </w:rPr>
            </w:pPr>
          </w:p>
          <w:p w14:paraId="6DB609B7">
            <w:pPr>
              <w:snapToGrid w:val="0"/>
              <w:spacing w:line="400" w:lineRule="exact"/>
              <w:jc w:val="center"/>
              <w:rPr>
                <w:rFonts w:ascii="宋体" w:hAnsi="宋体"/>
                <w:color w:val="auto"/>
                <w:kern w:val="0"/>
                <w:szCs w:val="21"/>
                <w:highlight w:val="none"/>
              </w:rPr>
            </w:pPr>
          </w:p>
          <w:p w14:paraId="02DD72FE">
            <w:pPr>
              <w:snapToGrid w:val="0"/>
              <w:spacing w:line="400" w:lineRule="exact"/>
              <w:jc w:val="center"/>
              <w:rPr>
                <w:rFonts w:ascii="宋体" w:hAnsi="宋体"/>
                <w:color w:val="auto"/>
                <w:kern w:val="0"/>
                <w:szCs w:val="21"/>
                <w:highlight w:val="none"/>
              </w:rPr>
            </w:pPr>
          </w:p>
          <w:p w14:paraId="4CF55773">
            <w:pPr>
              <w:snapToGrid w:val="0"/>
              <w:spacing w:line="400" w:lineRule="exact"/>
              <w:jc w:val="center"/>
              <w:rPr>
                <w:rFonts w:ascii="宋体" w:hAnsi="宋体"/>
                <w:color w:val="auto"/>
                <w:kern w:val="0"/>
                <w:szCs w:val="21"/>
                <w:highlight w:val="none"/>
              </w:rPr>
            </w:pPr>
          </w:p>
          <w:p w14:paraId="1EC09B0F">
            <w:pPr>
              <w:snapToGrid w:val="0"/>
              <w:spacing w:line="400" w:lineRule="exact"/>
              <w:jc w:val="center"/>
              <w:rPr>
                <w:rFonts w:ascii="宋体" w:hAnsi="宋体"/>
                <w:color w:val="auto"/>
                <w:kern w:val="0"/>
                <w:szCs w:val="21"/>
                <w:highlight w:val="none"/>
              </w:rPr>
            </w:pPr>
          </w:p>
          <w:p w14:paraId="14D1DD92">
            <w:pPr>
              <w:snapToGrid w:val="0"/>
              <w:spacing w:line="400" w:lineRule="exact"/>
              <w:jc w:val="center"/>
              <w:rPr>
                <w:rFonts w:ascii="宋体" w:hAnsi="宋体"/>
                <w:color w:val="auto"/>
                <w:kern w:val="0"/>
                <w:szCs w:val="21"/>
                <w:highlight w:val="none"/>
              </w:rPr>
            </w:pPr>
          </w:p>
          <w:p w14:paraId="782D6254">
            <w:pPr>
              <w:snapToGrid w:val="0"/>
              <w:spacing w:line="400" w:lineRule="exact"/>
              <w:jc w:val="center"/>
              <w:rPr>
                <w:rFonts w:ascii="宋体" w:hAnsi="宋体"/>
                <w:color w:val="auto"/>
                <w:kern w:val="0"/>
                <w:szCs w:val="21"/>
                <w:highlight w:val="none"/>
              </w:rPr>
            </w:pPr>
          </w:p>
          <w:p w14:paraId="2EDC31B3">
            <w:pPr>
              <w:snapToGrid w:val="0"/>
              <w:spacing w:line="400" w:lineRule="exact"/>
              <w:jc w:val="center"/>
              <w:rPr>
                <w:rFonts w:ascii="宋体" w:hAnsi="宋体"/>
                <w:color w:val="auto"/>
                <w:kern w:val="0"/>
                <w:szCs w:val="21"/>
                <w:highlight w:val="none"/>
              </w:rPr>
            </w:pPr>
          </w:p>
          <w:p w14:paraId="50EAFA5A">
            <w:pPr>
              <w:snapToGrid w:val="0"/>
              <w:spacing w:line="400" w:lineRule="exact"/>
              <w:jc w:val="center"/>
              <w:rPr>
                <w:rFonts w:ascii="宋体" w:hAnsi="宋体"/>
                <w:color w:val="auto"/>
                <w:kern w:val="0"/>
                <w:szCs w:val="21"/>
                <w:highlight w:val="none"/>
              </w:rPr>
            </w:pPr>
          </w:p>
          <w:p w14:paraId="4B4E397D">
            <w:pPr>
              <w:snapToGrid w:val="0"/>
              <w:spacing w:line="400" w:lineRule="exact"/>
              <w:jc w:val="center"/>
              <w:rPr>
                <w:rFonts w:ascii="宋体" w:hAnsi="宋体"/>
                <w:color w:val="auto"/>
                <w:kern w:val="0"/>
                <w:szCs w:val="21"/>
                <w:highlight w:val="none"/>
              </w:rPr>
            </w:pPr>
          </w:p>
          <w:p w14:paraId="5E522913">
            <w:pPr>
              <w:snapToGrid w:val="0"/>
              <w:spacing w:line="400" w:lineRule="exact"/>
              <w:jc w:val="center"/>
              <w:rPr>
                <w:rFonts w:ascii="宋体" w:hAnsi="宋体"/>
                <w:color w:val="auto"/>
                <w:kern w:val="0"/>
                <w:szCs w:val="21"/>
                <w:highlight w:val="none"/>
              </w:rPr>
            </w:pPr>
          </w:p>
          <w:p w14:paraId="37D22034">
            <w:pPr>
              <w:snapToGrid w:val="0"/>
              <w:spacing w:line="400" w:lineRule="exact"/>
              <w:jc w:val="center"/>
              <w:rPr>
                <w:rFonts w:ascii="宋体" w:hAnsi="宋体"/>
                <w:color w:val="auto"/>
                <w:kern w:val="0"/>
                <w:szCs w:val="21"/>
                <w:highlight w:val="none"/>
              </w:rPr>
            </w:pPr>
          </w:p>
          <w:p w14:paraId="5C8EE665">
            <w:pPr>
              <w:snapToGrid w:val="0"/>
              <w:spacing w:line="400" w:lineRule="exact"/>
              <w:jc w:val="center"/>
              <w:rPr>
                <w:rFonts w:ascii="宋体" w:hAnsi="宋体"/>
                <w:color w:val="auto"/>
                <w:kern w:val="0"/>
                <w:szCs w:val="21"/>
                <w:highlight w:val="none"/>
              </w:rPr>
            </w:pPr>
          </w:p>
          <w:p w14:paraId="11FE32D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6D1C99B">
            <w:pPr>
              <w:snapToGrid w:val="0"/>
              <w:spacing w:line="400" w:lineRule="exact"/>
              <w:jc w:val="center"/>
              <w:rPr>
                <w:rFonts w:ascii="宋体" w:hAnsi="宋体"/>
                <w:color w:val="auto"/>
                <w:kern w:val="0"/>
                <w:szCs w:val="21"/>
                <w:highlight w:val="none"/>
              </w:rPr>
            </w:pPr>
          </w:p>
          <w:p w14:paraId="699C6621">
            <w:pPr>
              <w:snapToGrid w:val="0"/>
              <w:spacing w:line="400" w:lineRule="exact"/>
              <w:jc w:val="center"/>
              <w:rPr>
                <w:rFonts w:ascii="宋体" w:hAnsi="宋体"/>
                <w:color w:val="auto"/>
                <w:kern w:val="0"/>
                <w:szCs w:val="21"/>
                <w:highlight w:val="none"/>
              </w:rPr>
            </w:pPr>
          </w:p>
          <w:p w14:paraId="0BCD3FA0">
            <w:pPr>
              <w:snapToGrid w:val="0"/>
              <w:spacing w:line="400" w:lineRule="exact"/>
              <w:jc w:val="center"/>
              <w:rPr>
                <w:rFonts w:ascii="宋体" w:hAnsi="宋体"/>
                <w:color w:val="auto"/>
                <w:kern w:val="0"/>
                <w:szCs w:val="21"/>
                <w:highlight w:val="none"/>
              </w:rPr>
            </w:pPr>
          </w:p>
          <w:p w14:paraId="50A5BBDF">
            <w:pPr>
              <w:snapToGrid w:val="0"/>
              <w:spacing w:line="400" w:lineRule="exact"/>
              <w:jc w:val="center"/>
              <w:rPr>
                <w:rFonts w:ascii="宋体" w:hAnsi="宋体"/>
                <w:color w:val="auto"/>
                <w:kern w:val="0"/>
                <w:szCs w:val="21"/>
                <w:highlight w:val="none"/>
              </w:rPr>
            </w:pPr>
          </w:p>
          <w:p w14:paraId="670575A1">
            <w:pPr>
              <w:snapToGrid w:val="0"/>
              <w:spacing w:line="400" w:lineRule="exact"/>
              <w:jc w:val="center"/>
              <w:rPr>
                <w:rFonts w:ascii="宋体" w:hAnsi="宋体"/>
                <w:color w:val="auto"/>
                <w:kern w:val="0"/>
                <w:szCs w:val="21"/>
                <w:highlight w:val="none"/>
              </w:rPr>
            </w:pPr>
          </w:p>
          <w:p w14:paraId="1BC3E33E">
            <w:pPr>
              <w:snapToGrid w:val="0"/>
              <w:spacing w:line="400" w:lineRule="exact"/>
              <w:jc w:val="center"/>
              <w:rPr>
                <w:rFonts w:ascii="宋体" w:hAnsi="宋体"/>
                <w:color w:val="auto"/>
                <w:kern w:val="0"/>
                <w:szCs w:val="21"/>
                <w:highlight w:val="none"/>
              </w:rPr>
            </w:pPr>
          </w:p>
          <w:p w14:paraId="16FD233E">
            <w:pPr>
              <w:snapToGrid w:val="0"/>
              <w:spacing w:line="400" w:lineRule="exact"/>
              <w:jc w:val="center"/>
              <w:rPr>
                <w:rFonts w:ascii="宋体" w:hAnsi="宋体"/>
                <w:color w:val="auto"/>
                <w:kern w:val="0"/>
                <w:szCs w:val="21"/>
                <w:highlight w:val="none"/>
              </w:rPr>
            </w:pPr>
          </w:p>
          <w:p w14:paraId="3235E6BF">
            <w:pPr>
              <w:snapToGrid w:val="0"/>
              <w:spacing w:line="400" w:lineRule="exact"/>
              <w:jc w:val="center"/>
              <w:rPr>
                <w:rFonts w:ascii="宋体" w:hAnsi="宋体"/>
                <w:color w:val="auto"/>
                <w:kern w:val="0"/>
                <w:szCs w:val="21"/>
                <w:highlight w:val="none"/>
              </w:rPr>
            </w:pPr>
          </w:p>
          <w:p w14:paraId="63872D66">
            <w:pPr>
              <w:snapToGrid w:val="0"/>
              <w:spacing w:line="400" w:lineRule="exact"/>
              <w:jc w:val="center"/>
              <w:rPr>
                <w:rFonts w:ascii="宋体" w:hAnsi="宋体"/>
                <w:color w:val="auto"/>
                <w:kern w:val="0"/>
                <w:szCs w:val="21"/>
                <w:highlight w:val="none"/>
              </w:rPr>
            </w:pPr>
          </w:p>
          <w:p w14:paraId="58C66D13">
            <w:pPr>
              <w:snapToGrid w:val="0"/>
              <w:spacing w:line="400" w:lineRule="exact"/>
              <w:jc w:val="center"/>
              <w:rPr>
                <w:rFonts w:ascii="宋体" w:hAnsi="宋体"/>
                <w:color w:val="auto"/>
                <w:kern w:val="0"/>
                <w:szCs w:val="21"/>
                <w:highlight w:val="none"/>
              </w:rPr>
            </w:pPr>
          </w:p>
          <w:p w14:paraId="207346B1">
            <w:pPr>
              <w:snapToGrid w:val="0"/>
              <w:spacing w:line="400" w:lineRule="exact"/>
              <w:jc w:val="both"/>
              <w:rPr>
                <w:rFonts w:ascii="宋体" w:hAnsi="宋体"/>
                <w:color w:val="auto"/>
                <w:kern w:val="0"/>
                <w:szCs w:val="21"/>
                <w:highlight w:val="none"/>
              </w:rPr>
            </w:pPr>
          </w:p>
        </w:tc>
        <w:tc>
          <w:tcPr>
            <w:tcW w:w="1644" w:type="dxa"/>
            <w:vAlign w:val="center"/>
          </w:tcPr>
          <w:p w14:paraId="7E8660CB">
            <w:pPr>
              <w:snapToGrid w:val="0"/>
              <w:spacing w:line="400" w:lineRule="exact"/>
              <w:jc w:val="center"/>
              <w:rPr>
                <w:rFonts w:ascii="宋体" w:hAnsi="宋体"/>
                <w:color w:val="auto"/>
                <w:kern w:val="0"/>
                <w:szCs w:val="21"/>
                <w:highlight w:val="none"/>
              </w:rPr>
            </w:pPr>
          </w:p>
          <w:p w14:paraId="40689085">
            <w:pPr>
              <w:snapToGrid w:val="0"/>
              <w:spacing w:line="400" w:lineRule="exact"/>
              <w:jc w:val="center"/>
              <w:rPr>
                <w:rFonts w:ascii="宋体" w:hAnsi="宋体"/>
                <w:color w:val="auto"/>
                <w:kern w:val="0"/>
                <w:szCs w:val="21"/>
                <w:highlight w:val="none"/>
              </w:rPr>
            </w:pPr>
          </w:p>
          <w:p w14:paraId="21A58F90">
            <w:pPr>
              <w:snapToGrid w:val="0"/>
              <w:spacing w:line="400" w:lineRule="exact"/>
              <w:jc w:val="center"/>
              <w:rPr>
                <w:rFonts w:ascii="宋体" w:hAnsi="宋体"/>
                <w:color w:val="auto"/>
                <w:kern w:val="0"/>
                <w:szCs w:val="21"/>
                <w:highlight w:val="none"/>
              </w:rPr>
            </w:pPr>
          </w:p>
          <w:p w14:paraId="4A146355">
            <w:pPr>
              <w:snapToGrid w:val="0"/>
              <w:spacing w:line="400" w:lineRule="exact"/>
              <w:jc w:val="center"/>
              <w:rPr>
                <w:rFonts w:ascii="宋体" w:hAnsi="宋体"/>
                <w:color w:val="auto"/>
                <w:kern w:val="0"/>
                <w:szCs w:val="21"/>
                <w:highlight w:val="none"/>
              </w:rPr>
            </w:pPr>
          </w:p>
          <w:p w14:paraId="7F3E3CAB">
            <w:pPr>
              <w:snapToGrid w:val="0"/>
              <w:spacing w:line="400" w:lineRule="exact"/>
              <w:jc w:val="center"/>
              <w:rPr>
                <w:rFonts w:ascii="宋体" w:hAnsi="宋体"/>
                <w:color w:val="auto"/>
                <w:kern w:val="0"/>
                <w:szCs w:val="21"/>
                <w:highlight w:val="none"/>
              </w:rPr>
            </w:pPr>
          </w:p>
          <w:p w14:paraId="43A53AAF">
            <w:pPr>
              <w:snapToGrid w:val="0"/>
              <w:spacing w:line="400" w:lineRule="exact"/>
              <w:jc w:val="center"/>
              <w:rPr>
                <w:rFonts w:ascii="宋体" w:hAnsi="宋体"/>
                <w:color w:val="auto"/>
                <w:kern w:val="0"/>
                <w:szCs w:val="21"/>
                <w:highlight w:val="none"/>
              </w:rPr>
            </w:pPr>
          </w:p>
          <w:p w14:paraId="06D69438">
            <w:pPr>
              <w:snapToGrid w:val="0"/>
              <w:spacing w:line="400" w:lineRule="exact"/>
              <w:jc w:val="center"/>
              <w:rPr>
                <w:rFonts w:ascii="宋体" w:hAnsi="宋体"/>
                <w:color w:val="auto"/>
                <w:kern w:val="0"/>
                <w:szCs w:val="21"/>
                <w:highlight w:val="none"/>
              </w:rPr>
            </w:pPr>
          </w:p>
          <w:p w14:paraId="46FEC638">
            <w:pPr>
              <w:snapToGrid w:val="0"/>
              <w:spacing w:line="400" w:lineRule="exact"/>
              <w:jc w:val="center"/>
              <w:rPr>
                <w:rFonts w:ascii="宋体" w:hAnsi="宋体"/>
                <w:color w:val="auto"/>
                <w:kern w:val="0"/>
                <w:szCs w:val="21"/>
                <w:highlight w:val="none"/>
              </w:rPr>
            </w:pPr>
          </w:p>
          <w:p w14:paraId="3D6B9C52">
            <w:pPr>
              <w:snapToGrid w:val="0"/>
              <w:spacing w:line="400" w:lineRule="exact"/>
              <w:jc w:val="center"/>
              <w:rPr>
                <w:rFonts w:ascii="宋体" w:hAnsi="宋体"/>
                <w:color w:val="auto"/>
                <w:kern w:val="0"/>
                <w:szCs w:val="21"/>
                <w:highlight w:val="none"/>
              </w:rPr>
            </w:pPr>
          </w:p>
          <w:p w14:paraId="714A9724">
            <w:pPr>
              <w:snapToGrid w:val="0"/>
              <w:spacing w:line="400" w:lineRule="exact"/>
              <w:jc w:val="center"/>
              <w:rPr>
                <w:rFonts w:ascii="宋体" w:hAnsi="宋体"/>
                <w:color w:val="auto"/>
                <w:kern w:val="0"/>
                <w:szCs w:val="21"/>
                <w:highlight w:val="none"/>
              </w:rPr>
            </w:pPr>
          </w:p>
          <w:p w14:paraId="357058FF">
            <w:pPr>
              <w:snapToGrid w:val="0"/>
              <w:spacing w:line="400" w:lineRule="exact"/>
              <w:jc w:val="center"/>
              <w:rPr>
                <w:rFonts w:ascii="宋体" w:hAnsi="宋体"/>
                <w:color w:val="auto"/>
                <w:kern w:val="0"/>
                <w:szCs w:val="21"/>
                <w:highlight w:val="none"/>
              </w:rPr>
            </w:pPr>
          </w:p>
          <w:p w14:paraId="4CFD9C27">
            <w:pPr>
              <w:snapToGrid w:val="0"/>
              <w:spacing w:line="400" w:lineRule="exact"/>
              <w:jc w:val="center"/>
              <w:rPr>
                <w:rFonts w:ascii="宋体" w:hAnsi="宋体"/>
                <w:color w:val="auto"/>
                <w:kern w:val="0"/>
                <w:szCs w:val="21"/>
                <w:highlight w:val="none"/>
              </w:rPr>
            </w:pPr>
          </w:p>
          <w:p w14:paraId="2B51943D">
            <w:pPr>
              <w:snapToGrid w:val="0"/>
              <w:spacing w:line="400" w:lineRule="exact"/>
              <w:jc w:val="center"/>
              <w:rPr>
                <w:rFonts w:ascii="宋体" w:hAnsi="宋体"/>
                <w:color w:val="auto"/>
                <w:kern w:val="0"/>
                <w:szCs w:val="21"/>
                <w:highlight w:val="none"/>
              </w:rPr>
            </w:pPr>
          </w:p>
          <w:p w14:paraId="4D9516C5">
            <w:pPr>
              <w:snapToGrid w:val="0"/>
              <w:spacing w:line="400" w:lineRule="exact"/>
              <w:jc w:val="center"/>
              <w:rPr>
                <w:rFonts w:ascii="宋体" w:hAnsi="宋体"/>
                <w:color w:val="auto"/>
                <w:kern w:val="0"/>
                <w:szCs w:val="21"/>
                <w:highlight w:val="none"/>
              </w:rPr>
            </w:pPr>
          </w:p>
          <w:p w14:paraId="6A40BB84">
            <w:pPr>
              <w:snapToGrid w:val="0"/>
              <w:spacing w:line="400" w:lineRule="exact"/>
              <w:jc w:val="center"/>
              <w:rPr>
                <w:rFonts w:ascii="宋体" w:hAnsi="宋体"/>
                <w:color w:val="auto"/>
                <w:kern w:val="0"/>
                <w:szCs w:val="21"/>
                <w:highlight w:val="none"/>
              </w:rPr>
            </w:pPr>
          </w:p>
          <w:p w14:paraId="6410D0BF">
            <w:pPr>
              <w:snapToGrid w:val="0"/>
              <w:spacing w:line="400" w:lineRule="exact"/>
              <w:jc w:val="center"/>
              <w:rPr>
                <w:rFonts w:ascii="宋体" w:hAnsi="宋体"/>
                <w:color w:val="auto"/>
                <w:kern w:val="0"/>
                <w:szCs w:val="21"/>
                <w:highlight w:val="none"/>
              </w:rPr>
            </w:pPr>
          </w:p>
          <w:p w14:paraId="2DB55F53">
            <w:pPr>
              <w:snapToGrid w:val="0"/>
              <w:spacing w:line="400" w:lineRule="exact"/>
              <w:jc w:val="center"/>
              <w:rPr>
                <w:rFonts w:ascii="宋体" w:hAnsi="宋体"/>
                <w:color w:val="auto"/>
                <w:kern w:val="0"/>
                <w:szCs w:val="21"/>
                <w:highlight w:val="none"/>
              </w:rPr>
            </w:pPr>
          </w:p>
          <w:p w14:paraId="3D5A3CC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75DF0F5F">
            <w:pPr>
              <w:snapToGrid w:val="0"/>
              <w:spacing w:line="400" w:lineRule="exact"/>
              <w:jc w:val="center"/>
              <w:rPr>
                <w:rFonts w:ascii="宋体" w:hAnsi="宋体"/>
                <w:color w:val="auto"/>
                <w:kern w:val="0"/>
                <w:szCs w:val="21"/>
                <w:highlight w:val="none"/>
              </w:rPr>
            </w:pPr>
          </w:p>
          <w:p w14:paraId="5408C94B">
            <w:pPr>
              <w:snapToGrid w:val="0"/>
              <w:spacing w:line="400" w:lineRule="exact"/>
              <w:jc w:val="center"/>
              <w:rPr>
                <w:rFonts w:ascii="宋体" w:hAnsi="宋体"/>
                <w:color w:val="auto"/>
                <w:kern w:val="0"/>
                <w:szCs w:val="21"/>
                <w:highlight w:val="none"/>
              </w:rPr>
            </w:pPr>
          </w:p>
          <w:p w14:paraId="0BC197B8">
            <w:pPr>
              <w:snapToGrid w:val="0"/>
              <w:spacing w:line="400" w:lineRule="exact"/>
              <w:jc w:val="center"/>
              <w:rPr>
                <w:rFonts w:ascii="宋体" w:hAnsi="宋体"/>
                <w:color w:val="auto"/>
                <w:kern w:val="0"/>
                <w:szCs w:val="21"/>
                <w:highlight w:val="none"/>
              </w:rPr>
            </w:pPr>
          </w:p>
          <w:p w14:paraId="0001BC69">
            <w:pPr>
              <w:snapToGrid w:val="0"/>
              <w:spacing w:line="400" w:lineRule="exact"/>
              <w:jc w:val="center"/>
              <w:rPr>
                <w:rFonts w:ascii="宋体" w:hAnsi="宋体"/>
                <w:color w:val="auto"/>
                <w:kern w:val="0"/>
                <w:szCs w:val="21"/>
                <w:highlight w:val="none"/>
              </w:rPr>
            </w:pPr>
          </w:p>
          <w:p w14:paraId="4DCDDC37">
            <w:pPr>
              <w:snapToGrid w:val="0"/>
              <w:spacing w:line="400" w:lineRule="exact"/>
              <w:jc w:val="center"/>
              <w:rPr>
                <w:rFonts w:ascii="宋体" w:hAnsi="宋体"/>
                <w:color w:val="auto"/>
                <w:kern w:val="0"/>
                <w:szCs w:val="21"/>
                <w:highlight w:val="none"/>
              </w:rPr>
            </w:pPr>
          </w:p>
          <w:p w14:paraId="6DF8198A">
            <w:pPr>
              <w:snapToGrid w:val="0"/>
              <w:spacing w:line="400" w:lineRule="exact"/>
              <w:jc w:val="center"/>
              <w:rPr>
                <w:rFonts w:ascii="宋体" w:hAnsi="宋体"/>
                <w:color w:val="auto"/>
                <w:kern w:val="0"/>
                <w:szCs w:val="21"/>
                <w:highlight w:val="none"/>
              </w:rPr>
            </w:pPr>
          </w:p>
          <w:p w14:paraId="6053CE7B">
            <w:pPr>
              <w:snapToGrid w:val="0"/>
              <w:spacing w:line="400" w:lineRule="exact"/>
              <w:jc w:val="center"/>
              <w:rPr>
                <w:rFonts w:ascii="宋体" w:hAnsi="宋体"/>
                <w:color w:val="auto"/>
                <w:kern w:val="0"/>
                <w:szCs w:val="21"/>
                <w:highlight w:val="none"/>
              </w:rPr>
            </w:pPr>
          </w:p>
          <w:p w14:paraId="669D8A0A">
            <w:pPr>
              <w:snapToGrid w:val="0"/>
              <w:spacing w:line="400" w:lineRule="exact"/>
              <w:jc w:val="center"/>
              <w:rPr>
                <w:rFonts w:ascii="宋体" w:hAnsi="宋体"/>
                <w:color w:val="auto"/>
                <w:kern w:val="0"/>
                <w:szCs w:val="21"/>
                <w:highlight w:val="none"/>
              </w:rPr>
            </w:pPr>
          </w:p>
          <w:p w14:paraId="37400728">
            <w:pPr>
              <w:snapToGrid w:val="0"/>
              <w:spacing w:line="400" w:lineRule="exact"/>
              <w:jc w:val="center"/>
              <w:rPr>
                <w:rFonts w:ascii="宋体" w:hAnsi="宋体"/>
                <w:color w:val="auto"/>
                <w:kern w:val="0"/>
                <w:szCs w:val="21"/>
                <w:highlight w:val="none"/>
              </w:rPr>
            </w:pPr>
          </w:p>
          <w:p w14:paraId="4D8E6E72">
            <w:pPr>
              <w:snapToGrid w:val="0"/>
              <w:spacing w:line="400" w:lineRule="exact"/>
              <w:jc w:val="center"/>
              <w:rPr>
                <w:rFonts w:ascii="宋体" w:hAnsi="宋体"/>
                <w:color w:val="auto"/>
                <w:kern w:val="0"/>
                <w:szCs w:val="21"/>
                <w:highlight w:val="none"/>
              </w:rPr>
            </w:pPr>
          </w:p>
        </w:tc>
        <w:tc>
          <w:tcPr>
            <w:tcW w:w="6490" w:type="dxa"/>
            <w:vAlign w:val="center"/>
          </w:tcPr>
          <w:p w14:paraId="00C68867">
            <w:pPr>
              <w:autoSpaceDE w:val="0"/>
              <w:autoSpaceDN w:val="0"/>
              <w:adjustRightInd w:val="0"/>
              <w:snapToGrid w:val="0"/>
              <w:spacing w:line="400" w:lineRule="exact"/>
              <w:rPr>
                <w:rFonts w:ascii="宋体" w:hAnsi="宋体"/>
                <w:color w:val="auto"/>
                <w:szCs w:val="21"/>
                <w:highlight w:val="none"/>
              </w:rPr>
            </w:pPr>
            <w:bookmarkStart w:id="122" w:name="OLE_LINK1"/>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招标实行资格后审，</w:t>
            </w:r>
            <w:r>
              <w:rPr>
                <w:rFonts w:hint="eastAsia" w:ascii="宋体" w:hAnsi="宋体"/>
                <w:color w:val="auto"/>
                <w:szCs w:val="21"/>
                <w:highlight w:val="none"/>
                <w:lang w:eastAsia="zh-CN"/>
              </w:rPr>
              <w:t>竞选人</w:t>
            </w:r>
            <w:r>
              <w:rPr>
                <w:rFonts w:ascii="宋体" w:hAnsi="宋体"/>
                <w:color w:val="auto"/>
                <w:szCs w:val="21"/>
                <w:highlight w:val="none"/>
              </w:rPr>
              <w:t>应</w:t>
            </w:r>
            <w:bookmarkStart w:id="123" w:name="一是"/>
            <w:bookmarkEnd w:id="123"/>
            <w:r>
              <w:rPr>
                <w:rFonts w:ascii="宋体" w:hAnsi="宋体"/>
                <w:color w:val="auto"/>
                <w:szCs w:val="21"/>
                <w:highlight w:val="none"/>
              </w:rPr>
              <w:t>具备以下资格条件：</w:t>
            </w:r>
          </w:p>
          <w:bookmarkEnd w:id="122"/>
          <w:p w14:paraId="1DAA34E7">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5EB7684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（1）具备有效的营业执照。</w:t>
            </w:r>
          </w:p>
          <w:p w14:paraId="5E9B55C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w:t>
            </w:r>
            <w:r>
              <w:rPr>
                <w:rFonts w:hint="eastAsia" w:ascii="宋体" w:hAnsi="宋体"/>
                <w:color w:val="auto"/>
                <w:szCs w:val="21"/>
                <w:highlight w:val="none"/>
                <w:lang w:eastAsia="zh-CN"/>
              </w:rPr>
              <w:t>竞选人</w:t>
            </w:r>
            <w:r>
              <w:rPr>
                <w:rFonts w:hint="eastAsia" w:ascii="宋体" w:hAnsi="宋体"/>
                <w:color w:val="auto"/>
                <w:szCs w:val="21"/>
                <w:highlight w:val="none"/>
              </w:rPr>
              <w:t>营业执照记载的经营范围作为评审因素。</w:t>
            </w:r>
          </w:p>
          <w:p w14:paraId="61E2D9FB">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4433217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自行承诺（格式</w:t>
            </w:r>
            <w:r>
              <w:rPr>
                <w:rFonts w:hint="eastAsia" w:ascii="宋体" w:hAnsi="宋体"/>
                <w:color w:val="auto"/>
                <w:szCs w:val="21"/>
                <w:highlight w:val="none"/>
                <w:lang w:val="en-US" w:eastAsia="zh-CN"/>
              </w:rPr>
              <w:t>自拟</w:t>
            </w:r>
            <w:r>
              <w:rPr>
                <w:rFonts w:hint="eastAsia" w:ascii="宋体" w:hAnsi="宋体"/>
                <w:color w:val="auto"/>
                <w:szCs w:val="21"/>
                <w:highlight w:val="none"/>
              </w:rPr>
              <w:t>）不得存在下列情形之一：</w:t>
            </w:r>
          </w:p>
          <w:p w14:paraId="79FB833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685290A">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（2）被“信用中国”网站(www.creditchina.gov.cn) 列为失信被 执行人</w:t>
            </w:r>
            <w:r>
              <w:rPr>
                <w:rFonts w:hint="eastAsia" w:ascii="宋体" w:hAnsi="宋体"/>
                <w:color w:val="auto"/>
                <w:szCs w:val="21"/>
                <w:highlight w:val="none"/>
                <w:lang w:eastAsia="zh-CN"/>
              </w:rPr>
              <w:t>；</w:t>
            </w:r>
          </w:p>
          <w:p w14:paraId="62255CB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（3）被国家、重庆市（含市或任意区县）有关行政部门处以暂停投标资格行政处罚，且在处罚期限内；</w:t>
            </w:r>
          </w:p>
          <w:p w14:paraId="40CB11F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）被重庆市</w:t>
            </w:r>
            <w:r>
              <w:rPr>
                <w:rFonts w:hint="eastAsia" w:ascii="宋体" w:hAnsi="宋体" w:eastAsia="宋体" w:cs="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6CA646B">
            <w:pPr>
              <w:spacing w:line="400" w:lineRule="exact"/>
              <w:ind w:firstLine="420" w:firstLineChars="200"/>
              <w:rPr>
                <w:rFonts w:hint="eastAsia"/>
                <w:color w:val="auto"/>
                <w:highlight w:val="none"/>
              </w:rPr>
            </w:pPr>
            <w:r>
              <w:rPr>
                <w:rFonts w:hint="eastAsia"/>
                <w:color w:val="auto"/>
                <w:highlight w:val="none"/>
                <w:lang w:eastAsia="zh-CN"/>
              </w:rPr>
              <w:t>竞选人</w:t>
            </w:r>
            <w:r>
              <w:rPr>
                <w:rFonts w:hint="eastAsia"/>
                <w:color w:val="auto"/>
                <w:highlight w:val="none"/>
              </w:rPr>
              <w:t>须在</w:t>
            </w:r>
            <w:r>
              <w:rPr>
                <w:rFonts w:hint="eastAsia"/>
                <w:color w:val="auto"/>
                <w:highlight w:val="none"/>
                <w:lang w:eastAsia="zh-CN"/>
              </w:rPr>
              <w:t>竞选文件</w:t>
            </w:r>
            <w:r>
              <w:rPr>
                <w:rFonts w:hint="eastAsia"/>
                <w:color w:val="auto"/>
                <w:highlight w:val="none"/>
              </w:rPr>
              <w:t>资格审查部分提供承诺。</w:t>
            </w:r>
          </w:p>
          <w:p w14:paraId="53AB2838">
            <w:pPr>
              <w:autoSpaceDE w:val="0"/>
              <w:autoSpaceDN w:val="0"/>
              <w:adjustRightInd w:val="0"/>
              <w:snapToGrid w:val="0"/>
              <w:spacing w:line="400" w:lineRule="exact"/>
              <w:ind w:firstLine="422" w:firstLineChars="200"/>
              <w:rPr>
                <w:rFonts w:ascii="宋体" w:hAnsi="宋体"/>
                <w:color w:val="auto"/>
                <w:spacing w:val="-24"/>
                <w:kern w:val="0"/>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.其他要求</w:t>
            </w:r>
          </w:p>
          <w:p w14:paraId="0CB414A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w:t>
            </w:r>
          </w:p>
          <w:p w14:paraId="586D85C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45B143F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01859F6C">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769C8EA0">
            <w:pPr>
              <w:numPr>
                <w:ilvl w:val="0"/>
                <w:numId w:val="1"/>
              </w:numPr>
              <w:autoSpaceDE w:val="0"/>
              <w:autoSpaceDN w:val="0"/>
              <w:adjustRightInd w:val="0"/>
              <w:snapToGrid w:val="0"/>
              <w:spacing w:line="400" w:lineRule="exact"/>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上述要求须提交的相关证明材料复印件均应加盖</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单位法人章并装入</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文件资格审查部分中</w:t>
            </w:r>
            <w:r>
              <w:rPr>
                <w:rFonts w:hint="eastAsia" w:ascii="宋体" w:hAnsi="宋体" w:cs="宋体"/>
                <w:color w:val="auto"/>
                <w:kern w:val="0"/>
                <w:szCs w:val="21"/>
                <w:highlight w:val="none"/>
              </w:rPr>
              <w:t>。</w:t>
            </w:r>
          </w:p>
          <w:p w14:paraId="02F64E3A">
            <w:pPr>
              <w:numPr>
                <w:ilvl w:val="0"/>
                <w:numId w:val="1"/>
              </w:num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须自行承诺其提供的上述相关证明材料真实有效，不存在弄虚作假情形（格式见第</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章</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14:paraId="614F66AB">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5313C757">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1AFAA621">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ascii="宋体" w:hAnsi="宋体"/>
                <w:bCs/>
                <w:snapToGrid w:val="0"/>
                <w:color w:val="auto"/>
                <w:kern w:val="0"/>
                <w:szCs w:val="21"/>
                <w:highlight w:val="none"/>
              </w:rPr>
              <w:t>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10</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12</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3D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66CF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35C540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F9160D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14:paraId="7937C7CB">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29850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EAC7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25409B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74E6094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14:paraId="7CD6F00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2BA161AF">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56DCC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A4E52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2FFB57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9A0BC6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14:paraId="00D2499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3C5A9963">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2B3BB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2BC1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BF1A1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6370E23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p w14:paraId="4E6940C4">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r>
              <w:rPr>
                <w:rFonts w:hint="eastAsia" w:ascii="宋体" w:hAnsi="宋体"/>
                <w:color w:val="auto"/>
                <w:kern w:val="0"/>
                <w:szCs w:val="21"/>
                <w:highlight w:val="none"/>
                <w:lang w:val="en-US" w:eastAsia="zh-CN"/>
              </w:rPr>
              <w:t>/</w:t>
            </w:r>
          </w:p>
          <w:p w14:paraId="63BFE2B4">
            <w:pPr>
              <w:snapToGrid w:val="0"/>
              <w:spacing w:line="400" w:lineRule="exact"/>
              <w:ind w:firstLine="1260" w:firstLineChars="600"/>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分包金额要求：</w:t>
            </w:r>
            <w:r>
              <w:rPr>
                <w:rFonts w:hint="eastAsia" w:ascii="宋体" w:hAnsi="宋体"/>
                <w:color w:val="auto"/>
                <w:kern w:val="0"/>
                <w:szCs w:val="21"/>
                <w:highlight w:val="none"/>
                <w:lang w:val="en-US" w:eastAsia="zh-CN"/>
              </w:rPr>
              <w:t>/</w:t>
            </w:r>
          </w:p>
          <w:p w14:paraId="16390C7C">
            <w:pPr>
              <w:snapToGrid w:val="0"/>
              <w:spacing w:after="15" w:afterLines="5"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接受分包的第三人资质要求：</w:t>
            </w:r>
            <w:r>
              <w:rPr>
                <w:rFonts w:hint="eastAsia" w:ascii="宋体" w:hAnsi="宋体"/>
                <w:color w:val="auto"/>
                <w:kern w:val="0"/>
                <w:szCs w:val="21"/>
                <w:highlight w:val="none"/>
                <w:lang w:val="en-US" w:eastAsia="zh-CN"/>
              </w:rPr>
              <w:t>/</w:t>
            </w:r>
          </w:p>
          <w:p w14:paraId="29FE09E5">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543ED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05DFA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97ACD9F">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50EB6F9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42AA4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16CD9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D79FC3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1015321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ascii="宋体" w:hAnsi="宋体"/>
                <w:color w:val="auto"/>
                <w:kern w:val="0"/>
                <w:szCs w:val="21"/>
                <w:highlight w:val="none"/>
              </w:rPr>
              <w:t>。</w:t>
            </w:r>
          </w:p>
        </w:tc>
      </w:tr>
      <w:tr w14:paraId="19603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6EFC40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4E5FC1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715BD018">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4DAFA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27C2267B">
            <w:pPr>
              <w:snapToGrid w:val="0"/>
              <w:spacing w:line="400" w:lineRule="exact"/>
              <w:jc w:val="center"/>
              <w:rPr>
                <w:rFonts w:ascii="宋体" w:hAnsi="宋体"/>
                <w:color w:val="auto"/>
                <w:kern w:val="0"/>
                <w:szCs w:val="21"/>
                <w:highlight w:val="none"/>
              </w:rPr>
            </w:pPr>
          </w:p>
        </w:tc>
        <w:tc>
          <w:tcPr>
            <w:tcW w:w="1644" w:type="dxa"/>
            <w:vAlign w:val="center"/>
          </w:tcPr>
          <w:p w14:paraId="3504C88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40F27083">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23D48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AAEC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5D329412">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70F6EF9D">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编制的，须在投标截止时间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日的，须相应延后投标截止时间。</w:t>
            </w:r>
          </w:p>
        </w:tc>
      </w:tr>
      <w:tr w14:paraId="4A4A4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909F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022A21B">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的其他材料</w:t>
            </w:r>
          </w:p>
        </w:tc>
        <w:tc>
          <w:tcPr>
            <w:tcW w:w="6490" w:type="dxa"/>
            <w:vAlign w:val="center"/>
          </w:tcPr>
          <w:p w14:paraId="1238F04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竞选文件</w:t>
            </w:r>
            <w:r>
              <w:rPr>
                <w:rFonts w:ascii="宋体" w:hAnsi="宋体"/>
                <w:color w:val="auto"/>
                <w:szCs w:val="21"/>
                <w:highlight w:val="none"/>
              </w:rPr>
              <w:t>的实质性内容）</w:t>
            </w:r>
          </w:p>
        </w:tc>
      </w:tr>
      <w:tr w14:paraId="35384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518CE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0DE4B5F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48462133">
            <w:pPr>
              <w:pStyle w:val="2"/>
              <w:ind w:left="0" w:leftChars="0" w:firstLine="420" w:firstLineChars="200"/>
              <w:rPr>
                <w:rFonts w:hint="default"/>
                <w:color w:val="auto"/>
                <w:highlight w:val="none"/>
                <w:lang w:val="en-US" w:eastAsia="zh-CN"/>
              </w:rPr>
            </w:pPr>
            <w:r>
              <w:rPr>
                <w:rFonts w:hint="default"/>
                <w:color w:val="auto"/>
                <w:highlight w:val="none"/>
                <w:lang w:val="en-US" w:eastAsia="zh-CN"/>
              </w:rPr>
              <w:t>1.本次报价须为人民币报价，包括但不限于完成本项目服务费、人工费、辅助材料费、到项目开会的差旅费用，重大节点相关人员驻场费用、企业管理费、利润、保险、风险费等事务及与本次服务相关费用和各种应纳的税费等一切费用。政策性文件规定及合同包含的所有风险、责任等各项应有费用包含在投标人总报价中。因成交供应商自身原因造成漏报、少报皆由其自行承担责任，采购人不再补偿。</w:t>
            </w:r>
          </w:p>
          <w:p w14:paraId="2B417162">
            <w:pPr>
              <w:pStyle w:val="2"/>
              <w:ind w:left="0" w:leftChars="0" w:firstLine="420" w:firstLineChars="200"/>
              <w:rPr>
                <w:rFonts w:hint="default"/>
                <w:color w:val="auto"/>
                <w:highlight w:val="none"/>
                <w:lang w:val="en-US" w:eastAsia="zh-CN"/>
              </w:rPr>
            </w:pPr>
            <w:r>
              <w:rPr>
                <w:rFonts w:hint="default"/>
                <w:color w:val="auto"/>
                <w:highlight w:val="none"/>
                <w:lang w:val="en-US" w:eastAsia="zh-CN"/>
              </w:rPr>
              <w:t>服务费用不含制作费用及与第三方发生费用，如：媒体发布费、活动费用、印刷制作、平面拍摄、图片电分、TVC拍摄、展览的装饰设计及制作、户型图渲染、外文翻译、团队素质培训等。</w:t>
            </w:r>
          </w:p>
          <w:p w14:paraId="5618948A">
            <w:pPr>
              <w:pStyle w:val="2"/>
              <w:ind w:left="0" w:leftChars="0" w:firstLine="420" w:firstLineChars="200"/>
              <w:rPr>
                <w:rFonts w:hint="default"/>
                <w:color w:val="auto"/>
                <w:highlight w:val="none"/>
                <w:lang w:val="en-US" w:eastAsia="zh-CN"/>
              </w:rPr>
            </w:pPr>
            <w:r>
              <w:rPr>
                <w:rFonts w:hint="default"/>
                <w:color w:val="auto"/>
                <w:highlight w:val="none"/>
                <w:lang w:val="en-US" w:eastAsia="zh-CN"/>
              </w:rPr>
              <w:t>2.本项目总价包干，服务费招标限价最高限价为</w:t>
            </w:r>
            <w:bookmarkStart w:id="124" w:name="OLE_LINK3"/>
            <w:r>
              <w:rPr>
                <w:rFonts w:hint="default"/>
                <w:color w:val="auto"/>
                <w:highlight w:val="none"/>
                <w:lang w:val="en-US" w:eastAsia="zh-CN"/>
              </w:rPr>
              <w:t>204000</w:t>
            </w:r>
            <w:bookmarkEnd w:id="124"/>
            <w:r>
              <w:rPr>
                <w:rFonts w:hint="default"/>
                <w:color w:val="auto"/>
                <w:highlight w:val="none"/>
                <w:lang w:val="en-US" w:eastAsia="zh-CN"/>
              </w:rPr>
              <w:t>.00元（贰拾万零肆仟元整）。</w:t>
            </w:r>
          </w:p>
        </w:tc>
      </w:tr>
      <w:tr w14:paraId="0BF8C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8B58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726054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21C33CD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竞选文件</w:t>
            </w:r>
            <w:r>
              <w:rPr>
                <w:rFonts w:ascii="宋体" w:hAnsi="宋体"/>
                <w:color w:val="auto"/>
                <w:szCs w:val="21"/>
                <w:highlight w:val="none"/>
              </w:rPr>
              <w:t>截止日起计算）</w:t>
            </w:r>
          </w:p>
        </w:tc>
      </w:tr>
      <w:tr w14:paraId="11435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3D958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75C710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0FD74C5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14:paraId="733E4B1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14:paraId="09D89E3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14:paraId="5BABFFB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 xml:space="preserve">2、以转账形式提交投标保证金的金额： </w:t>
            </w:r>
            <w:r>
              <w:rPr>
                <w:rFonts w:hint="eastAsia"/>
                <w:color w:val="auto"/>
                <w:highlight w:val="none"/>
                <w:lang w:val="en-US" w:eastAsia="zh-CN"/>
              </w:rPr>
              <w:t>0.4</w:t>
            </w:r>
            <w:r>
              <w:rPr>
                <w:rFonts w:hint="eastAsia"/>
                <w:color w:val="auto"/>
                <w:highlight w:val="none"/>
              </w:rPr>
              <w:t>万元整（人民币）。</w:t>
            </w:r>
          </w:p>
          <w:p w14:paraId="75FCC68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3、投标保证金账户及账号（任选其一）：</w:t>
            </w:r>
          </w:p>
          <w:p w14:paraId="23A177D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户  名：天之瓴建设股份有限公司重庆分公司</w:t>
            </w:r>
          </w:p>
          <w:p w14:paraId="2B136657">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开户行：交通银行股份有限公司重庆南岸支行</w:t>
            </w:r>
          </w:p>
          <w:p w14:paraId="12949617">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账  号：500114012018000077673</w:t>
            </w:r>
          </w:p>
          <w:p w14:paraId="0A89902F">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投标人须在投标文件资格审查部分“其他资料”中提供企业基本账户开户证明文件</w:t>
            </w:r>
            <w:r>
              <w:rPr>
                <w:rFonts w:hint="eastAsia"/>
                <w:b/>
                <w:bCs/>
                <w:color w:val="auto"/>
                <w:highlight w:val="none"/>
                <w:lang w:val="en-US" w:eastAsia="zh-CN"/>
              </w:rPr>
              <w:t>和保证金递交凭证复印件</w:t>
            </w:r>
            <w:r>
              <w:rPr>
                <w:rFonts w:hint="eastAsia"/>
                <w:b/>
                <w:bCs/>
                <w:color w:val="auto"/>
                <w:highlight w:val="none"/>
              </w:rPr>
              <w:t>。</w:t>
            </w:r>
          </w:p>
          <w:p w14:paraId="41813EC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w:t>
            </w:r>
            <w:bookmarkStart w:id="125" w:name="OLE_LINK17"/>
            <w:r>
              <w:rPr>
                <w:rFonts w:hint="eastAsia"/>
                <w:color w:val="auto"/>
                <w:highlight w:val="none"/>
                <w:lang w:val="en-US" w:eastAsia="zh-CN"/>
              </w:rPr>
              <w:t>项目名称+投标保证金</w:t>
            </w:r>
            <w:bookmarkEnd w:id="125"/>
            <w:r>
              <w:rPr>
                <w:rFonts w:hint="eastAsia"/>
                <w:color w:val="auto"/>
                <w:highlight w:val="none"/>
                <w:lang w:val="en-US" w:eastAsia="zh-CN"/>
              </w:rPr>
              <w:t>”。项目名称可简写。</w:t>
            </w:r>
          </w:p>
          <w:p w14:paraId="62034D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5、投标保证金有效期与投标有效期一致。</w:t>
            </w:r>
          </w:p>
          <w:p w14:paraId="7A3C29A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14:paraId="00C827E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二、投标保证金的退还</w:t>
            </w:r>
          </w:p>
          <w:p w14:paraId="2A39FF4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2111791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kern w:val="0"/>
                <w:szCs w:val="21"/>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tc>
      </w:tr>
      <w:tr w14:paraId="15279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D29D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1E118B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793661C6">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0AE9E8E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0137E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4D58A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729A7266">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格式要求</w:t>
            </w:r>
          </w:p>
        </w:tc>
        <w:tc>
          <w:tcPr>
            <w:tcW w:w="6490" w:type="dxa"/>
            <w:vAlign w:val="center"/>
          </w:tcPr>
          <w:p w14:paraId="6F3FDD6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时不得对第</w:t>
            </w:r>
            <w:r>
              <w:rPr>
                <w:rFonts w:hint="eastAsia" w:ascii="宋体" w:hAnsi="宋体"/>
                <w:color w:val="auto"/>
                <w:kern w:val="0"/>
                <w:szCs w:val="21"/>
                <w:highlight w:val="none"/>
                <w:lang w:val="en-US" w:eastAsia="zh-CN"/>
              </w:rPr>
              <w:t>六</w:t>
            </w:r>
            <w:r>
              <w:rPr>
                <w:rFonts w:hint="eastAsia" w:ascii="宋体" w:hAnsi="宋体"/>
                <w:color w:val="auto"/>
                <w:kern w:val="0"/>
                <w:szCs w:val="21"/>
                <w:highlight w:val="none"/>
              </w:rPr>
              <w:t>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格式”的相应要素作实质性修改，否则由评标委员会作否决投标处理。</w:t>
            </w:r>
          </w:p>
        </w:tc>
      </w:tr>
      <w:tr w14:paraId="38DE5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73775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271C5E0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18F3B8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的法定代表人或其委托代理人在招标文件规定的位置按招标文件要求签名或盖章、盖单位法人章。委托代理人签名的，</w:t>
            </w:r>
            <w:r>
              <w:rPr>
                <w:rFonts w:hint="eastAsia" w:ascii="宋体" w:hAnsi="宋体"/>
                <w:color w:val="auto"/>
                <w:szCs w:val="21"/>
                <w:highlight w:val="none"/>
                <w:lang w:eastAsia="zh-CN"/>
              </w:rPr>
              <w:t>竞选文件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竞选文件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的法定代表人或其授权的代理人签名确认。</w:t>
            </w:r>
          </w:p>
          <w:p w14:paraId="33D46547">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6343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BF04E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798B75B4">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的份数</w:t>
            </w:r>
          </w:p>
        </w:tc>
        <w:tc>
          <w:tcPr>
            <w:tcW w:w="6490" w:type="dxa"/>
            <w:vAlign w:val="center"/>
          </w:tcPr>
          <w:p w14:paraId="5A3DF9D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lang w:eastAsia="zh-CN"/>
              </w:rPr>
              <w:t>竞选文件一式二份(其中：正本一份，副本一份、电子档一</w:t>
            </w:r>
            <w:r>
              <w:rPr>
                <w:rFonts w:hint="eastAsia" w:ascii="宋体" w:hAnsi="宋体" w:eastAsia="宋体" w:cs="Times New Roman"/>
                <w:color w:val="auto"/>
                <w:kern w:val="0"/>
                <w:szCs w:val="21"/>
                <w:highlight w:val="yellow"/>
                <w:lang w:eastAsia="zh-CN"/>
              </w:rPr>
              <w:t>份</w:t>
            </w:r>
            <w:r>
              <w:rPr>
                <w:rFonts w:hint="eastAsia" w:ascii="宋体" w:hAnsi="宋体" w:eastAsia="宋体" w:cs="Times New Roman"/>
                <w:color w:val="auto"/>
                <w:kern w:val="0"/>
                <w:szCs w:val="21"/>
                <w:highlight w:val="red"/>
                <w:lang w:eastAsia="zh-CN"/>
              </w:rPr>
              <w:t xml:space="preserve"> (将投标文件正本</w:t>
            </w:r>
            <w:r>
              <w:rPr>
                <w:rFonts w:hint="eastAsia" w:ascii="宋体" w:hAnsi="宋体" w:cs="Times New Roman"/>
                <w:color w:val="auto"/>
                <w:kern w:val="0"/>
                <w:szCs w:val="21"/>
                <w:highlight w:val="red"/>
                <w:lang w:val="en-US" w:eastAsia="zh-CN"/>
              </w:rPr>
              <w:t>签字</w:t>
            </w:r>
            <w:r>
              <w:rPr>
                <w:rFonts w:hint="eastAsia" w:ascii="宋体" w:hAnsi="宋体" w:eastAsia="宋体" w:cs="Times New Roman"/>
                <w:color w:val="auto"/>
                <w:kern w:val="0"/>
                <w:szCs w:val="21"/>
                <w:highlight w:val="red"/>
                <w:lang w:eastAsia="zh-CN"/>
              </w:rPr>
              <w:t>盖章</w:t>
            </w:r>
            <w:r>
              <w:rPr>
                <w:rFonts w:hint="eastAsia" w:ascii="宋体" w:hAnsi="宋体" w:cs="Times New Roman"/>
                <w:color w:val="auto"/>
                <w:kern w:val="0"/>
                <w:szCs w:val="21"/>
                <w:highlight w:val="red"/>
                <w:lang w:val="en-US" w:eastAsia="zh-CN"/>
              </w:rPr>
              <w:t>完整的文件</w:t>
            </w:r>
            <w:r>
              <w:rPr>
                <w:rFonts w:hint="eastAsia" w:ascii="宋体" w:hAnsi="宋体" w:eastAsia="宋体" w:cs="Times New Roman"/>
                <w:color w:val="auto"/>
                <w:kern w:val="0"/>
                <w:szCs w:val="21"/>
                <w:highlight w:val="red"/>
                <w:lang w:eastAsia="zh-CN"/>
              </w:rPr>
              <w:t>扫描后</w:t>
            </w:r>
            <w:r>
              <w:rPr>
                <w:rFonts w:hint="eastAsia" w:ascii="宋体" w:hAnsi="宋体" w:cs="Times New Roman"/>
                <w:color w:val="auto"/>
                <w:kern w:val="0"/>
                <w:szCs w:val="21"/>
                <w:highlight w:val="red"/>
                <w:lang w:eastAsia="zh-CN"/>
              </w:rPr>
              <w:t>，</w:t>
            </w:r>
            <w:r>
              <w:rPr>
                <w:rFonts w:hint="eastAsia" w:ascii="宋体" w:hAnsi="宋体" w:cs="Times New Roman"/>
                <w:color w:val="auto"/>
                <w:kern w:val="0"/>
                <w:szCs w:val="21"/>
                <w:highlight w:val="red"/>
                <w:lang w:val="en-US" w:eastAsia="zh-CN"/>
              </w:rPr>
              <w:t>在规定时间内上传至“行采家”网站</w:t>
            </w:r>
            <w:r>
              <w:rPr>
                <w:rFonts w:hint="eastAsia" w:ascii="宋体" w:hAnsi="宋体" w:eastAsia="宋体" w:cs="Times New Roman"/>
                <w:color w:val="auto"/>
                <w:kern w:val="0"/>
                <w:szCs w:val="21"/>
                <w:highlight w:val="red"/>
                <w:lang w:eastAsia="zh-CN"/>
              </w:rPr>
              <w:t xml:space="preserve">)) </w:t>
            </w:r>
            <w:r>
              <w:rPr>
                <w:rFonts w:hint="eastAsia" w:ascii="宋体" w:hAnsi="宋体" w:eastAsia="宋体" w:cs="Times New Roman"/>
                <w:color w:val="auto"/>
                <w:kern w:val="0"/>
                <w:szCs w:val="21"/>
                <w:highlight w:val="none"/>
                <w:lang w:eastAsia="zh-CN"/>
              </w:rPr>
              <w:t>，副本可以为正本的复 印件， 投标文件内容应清楚地标记“正本”或“副本”的字样，当副本和正本不一致时，以正本为准。</w:t>
            </w:r>
          </w:p>
        </w:tc>
      </w:tr>
      <w:tr w14:paraId="06C8A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9C1A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4CE993D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16E9E1F">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val="en-US" w:eastAsia="zh-CN"/>
              </w:rPr>
              <w:t>六</w:t>
            </w:r>
            <w:r>
              <w:rPr>
                <w:rFonts w:hint="eastAsia" w:ascii="宋体" w:hAnsi="宋体"/>
                <w:color w:val="auto"/>
                <w:szCs w:val="21"/>
                <w:highlight w:val="none"/>
              </w:rPr>
              <w:t>章规定格式装订成册，并应编制目录，标注页码。</w:t>
            </w:r>
          </w:p>
          <w:p w14:paraId="03AD604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本项目技术部分采用明标评审，投标文件须装订成册，并应编制目录，若装订过厚，也可分订成多册。</w:t>
            </w:r>
          </w:p>
        </w:tc>
      </w:tr>
      <w:tr w14:paraId="515E9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A8B3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27E8FE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的密封</w:t>
            </w:r>
          </w:p>
        </w:tc>
        <w:tc>
          <w:tcPr>
            <w:tcW w:w="6490" w:type="dxa"/>
            <w:vAlign w:val="center"/>
          </w:tcPr>
          <w:p w14:paraId="249EE234">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1、竞选文件密封袋内装竞选文件正本和副本。封口处应 用封条密封， 封条上写明注明“开标时启封”字样并加盖投标人单位公章。同时应按本表第 4.1.2 项的规定写明相应内容。</w:t>
            </w:r>
          </w:p>
          <w:p w14:paraId="6BB73BD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2、如果竞选人未按上述规定封装，</w:t>
            </w:r>
            <w:r>
              <w:rPr>
                <w:rFonts w:hint="eastAsia" w:ascii="宋体" w:hAnsi="宋体"/>
                <w:color w:val="auto"/>
                <w:szCs w:val="21"/>
                <w:highlight w:val="none"/>
                <w:lang w:val="en-US" w:eastAsia="zh-CN"/>
              </w:rPr>
              <w:t>比选</w:t>
            </w:r>
            <w:r>
              <w:rPr>
                <w:rFonts w:hint="eastAsia" w:ascii="宋体" w:hAnsi="宋体"/>
                <w:color w:val="auto"/>
                <w:szCs w:val="21"/>
                <w:highlight w:val="none"/>
              </w:rPr>
              <w:t>人或招标代理机构应当拒绝接收。</w:t>
            </w:r>
          </w:p>
        </w:tc>
      </w:tr>
      <w:tr w14:paraId="2D9FC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C8ED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39904B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6226CDE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竞选文件</w:t>
            </w:r>
            <w:r>
              <w:rPr>
                <w:rFonts w:ascii="宋体" w:hAnsi="宋体"/>
                <w:color w:val="auto"/>
                <w:kern w:val="0"/>
                <w:szCs w:val="21"/>
                <w:highlight w:val="none"/>
              </w:rPr>
              <w:t>”大袋封套上写明如下内容：</w:t>
            </w:r>
          </w:p>
          <w:p w14:paraId="11AC729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p>
          <w:p w14:paraId="1F029A1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138CA9DD">
            <w:pPr>
              <w:snapToGrid w:val="0"/>
              <w:spacing w:line="40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竞选文件</w:t>
            </w:r>
          </w:p>
          <w:p w14:paraId="13093363">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BBF4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8DEB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17954F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地点</w:t>
            </w:r>
          </w:p>
        </w:tc>
        <w:tc>
          <w:tcPr>
            <w:tcW w:w="6490" w:type="dxa"/>
            <w:vAlign w:val="center"/>
          </w:tcPr>
          <w:p w14:paraId="5A450FE0">
            <w:pPr>
              <w:snapToGrid w:val="0"/>
              <w:spacing w:line="400" w:lineRule="exact"/>
              <w:ind w:firstLine="420" w:firstLineChars="200"/>
              <w:rPr>
                <w:rFonts w:ascii="宋体" w:hAnsi="宋体"/>
                <w:bCs/>
                <w:i/>
                <w:color w:val="auto"/>
                <w:szCs w:val="21"/>
                <w:highlight w:val="none"/>
              </w:rPr>
            </w:pPr>
            <w:r>
              <w:rPr>
                <w:rFonts w:hint="eastAsia" w:ascii="宋体" w:hAnsi="宋体"/>
                <w:snapToGrid w:val="0"/>
                <w:color w:val="auto"/>
                <w:kern w:val="0"/>
                <w:szCs w:val="21"/>
                <w:highlight w:val="none"/>
                <w:u w:val="single"/>
                <w:lang w:eastAsia="zh-CN"/>
              </w:rPr>
              <w:t>天之瓴建设股份有限公司会议室（重庆市南岸区通江大道214号</w:t>
            </w:r>
            <w:r>
              <w:rPr>
                <w:rFonts w:hint="eastAsia" w:ascii="宋体" w:hAnsi="宋体"/>
                <w:snapToGrid w:val="0"/>
                <w:color w:val="auto"/>
                <w:kern w:val="0"/>
                <w:szCs w:val="21"/>
                <w:highlight w:val="none"/>
                <w:u w:val="single"/>
                <w:lang w:val="en-US" w:eastAsia="zh-CN"/>
              </w:rPr>
              <w:t>2栋2单元3-3</w:t>
            </w:r>
            <w:r>
              <w:rPr>
                <w:rFonts w:hint="eastAsia" w:ascii="宋体" w:hAnsi="宋体"/>
                <w:snapToGrid w:val="0"/>
                <w:color w:val="auto"/>
                <w:kern w:val="0"/>
                <w:szCs w:val="21"/>
                <w:highlight w:val="none"/>
                <w:u w:val="single"/>
                <w:lang w:eastAsia="zh-CN"/>
              </w:rPr>
              <w:t>）</w:t>
            </w:r>
          </w:p>
        </w:tc>
      </w:tr>
      <w:tr w14:paraId="0FA57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12BE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5B1F3E07">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竞选文件</w:t>
            </w:r>
          </w:p>
        </w:tc>
        <w:tc>
          <w:tcPr>
            <w:tcW w:w="6490" w:type="dxa"/>
            <w:vAlign w:val="center"/>
          </w:tcPr>
          <w:p w14:paraId="0BD710B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tc>
      </w:tr>
      <w:tr w14:paraId="651D0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AAC3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20B63A8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300C2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621B0A9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5256B425">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lang w:val="en-US" w:eastAsia="zh-CN"/>
              </w:rPr>
              <w:t>详见比选公告</w:t>
            </w:r>
            <w:r>
              <w:rPr>
                <w:rFonts w:ascii="宋体" w:hAnsi="宋体"/>
                <w:bCs/>
                <w:color w:val="auto"/>
                <w:szCs w:val="21"/>
                <w:highlight w:val="none"/>
              </w:rPr>
              <w:t>。</w:t>
            </w:r>
          </w:p>
        </w:tc>
      </w:tr>
      <w:tr w14:paraId="67DB2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3C6113">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203539B7">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5F5F22D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3D860F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lang w:eastAsia="zh-CN"/>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44A61F0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5D540BA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115CDB7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lang w:eastAsia="zh-CN"/>
              </w:rPr>
              <w:t>竞选文件</w:t>
            </w:r>
            <w:r>
              <w:rPr>
                <w:rFonts w:ascii="宋体" w:hAnsi="宋体"/>
                <w:color w:val="auto"/>
                <w:szCs w:val="21"/>
                <w:highlight w:val="none"/>
              </w:rPr>
              <w:t>的</w:t>
            </w:r>
            <w:r>
              <w:rPr>
                <w:rFonts w:hint="eastAsia" w:ascii="宋体" w:hAnsi="宋体"/>
                <w:color w:val="auto"/>
                <w:szCs w:val="21"/>
                <w:highlight w:val="none"/>
                <w:lang w:eastAsia="zh-CN"/>
              </w:rPr>
              <w:t>竞选人</w:t>
            </w:r>
            <w:r>
              <w:rPr>
                <w:rFonts w:ascii="宋体" w:hAnsi="宋体"/>
                <w:color w:val="auto"/>
                <w:szCs w:val="21"/>
                <w:highlight w:val="none"/>
              </w:rPr>
              <w:t>名称</w:t>
            </w:r>
            <w:r>
              <w:rPr>
                <w:rFonts w:hint="eastAsia" w:ascii="宋体" w:hAnsi="宋体"/>
                <w:color w:val="auto"/>
                <w:szCs w:val="21"/>
                <w:highlight w:val="none"/>
              </w:rPr>
              <w:t>。</w:t>
            </w:r>
          </w:p>
          <w:p w14:paraId="525A611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lang w:eastAsia="zh-CN"/>
              </w:rPr>
              <w:t>竞选文件</w:t>
            </w:r>
            <w:r>
              <w:rPr>
                <w:rFonts w:hint="eastAsia" w:ascii="宋体" w:hAnsi="宋体"/>
                <w:color w:val="auto"/>
                <w:szCs w:val="21"/>
                <w:highlight w:val="none"/>
              </w:rPr>
              <w:t>的密封检查：</w:t>
            </w:r>
            <w:r>
              <w:rPr>
                <w:rFonts w:hint="eastAsia" w:ascii="宋体" w:hAnsi="宋体"/>
                <w:color w:val="auto"/>
                <w:szCs w:val="21"/>
                <w:highlight w:val="none"/>
                <w:lang w:eastAsia="zh-CN"/>
              </w:rPr>
              <w:t>竞选人</w:t>
            </w:r>
            <w:r>
              <w:rPr>
                <w:rFonts w:hint="eastAsia" w:ascii="宋体" w:hAnsi="宋体"/>
                <w:color w:val="auto"/>
                <w:szCs w:val="21"/>
                <w:highlight w:val="none"/>
              </w:rPr>
              <w:t>可对自己的</w:t>
            </w:r>
            <w:r>
              <w:rPr>
                <w:rFonts w:hint="eastAsia" w:ascii="宋体" w:hAnsi="宋体"/>
                <w:color w:val="auto"/>
                <w:szCs w:val="21"/>
                <w:highlight w:val="none"/>
                <w:lang w:eastAsia="zh-CN"/>
              </w:rPr>
              <w:t>竞选文件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竞选文件</w:t>
            </w:r>
            <w:r>
              <w:rPr>
                <w:rFonts w:hint="eastAsia" w:ascii="宋体" w:hAnsi="宋体"/>
                <w:color w:val="auto"/>
                <w:szCs w:val="21"/>
                <w:highlight w:val="none"/>
              </w:rPr>
              <w:t>密封完好。</w:t>
            </w:r>
          </w:p>
          <w:p w14:paraId="3E69D92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11A9119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14:paraId="5691205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lang w:eastAsia="zh-CN"/>
              </w:rPr>
              <w:t>竞选文件</w:t>
            </w:r>
            <w:r>
              <w:rPr>
                <w:rFonts w:ascii="宋体" w:hAnsi="宋体"/>
                <w:color w:val="auto"/>
                <w:szCs w:val="21"/>
                <w:highlight w:val="none"/>
              </w:rPr>
              <w:t>。公布</w:t>
            </w:r>
            <w:r>
              <w:rPr>
                <w:rFonts w:hint="eastAsia" w:ascii="宋体" w:hAnsi="宋体"/>
                <w:color w:val="auto"/>
                <w:szCs w:val="21"/>
                <w:highlight w:val="none"/>
                <w:lang w:eastAsia="zh-CN"/>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67E58054">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14:paraId="542E576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xml:space="preserve">. </w:t>
            </w:r>
            <w:r>
              <w:rPr>
                <w:rFonts w:hint="eastAsia" w:ascii="宋体" w:hAnsi="宋体"/>
                <w:color w:val="auto"/>
                <w:szCs w:val="21"/>
                <w:highlight w:val="none"/>
                <w:lang w:eastAsia="zh-CN"/>
              </w:rPr>
              <w:t>竞选人</w:t>
            </w:r>
            <w:r>
              <w:rPr>
                <w:rFonts w:ascii="宋体" w:hAnsi="宋体"/>
                <w:color w:val="auto"/>
                <w:szCs w:val="21"/>
                <w:highlight w:val="none"/>
              </w:rPr>
              <w:t>代表、</w:t>
            </w:r>
            <w:r>
              <w:rPr>
                <w:rFonts w:hint="eastAsia" w:ascii="宋体" w:hAnsi="宋体"/>
                <w:color w:val="auto"/>
                <w:szCs w:val="21"/>
                <w:highlight w:val="none"/>
                <w:lang w:eastAsia="zh-CN"/>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BE62D0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756FE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93D9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766F18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B997210">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34AE0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D15A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9488AD8">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60FAE0A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02E0598">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B</w:t>
            </w:r>
            <w:r>
              <w:rPr>
                <w:rFonts w:ascii="宋体" w:hAnsi="宋体"/>
                <w:color w:val="auto"/>
                <w:kern w:val="0"/>
                <w:szCs w:val="21"/>
                <w:highlight w:val="none"/>
              </w:rPr>
              <w:t>否，推荐经评审综合得分由高到低排名前三名为中标候选人。</w:t>
            </w:r>
          </w:p>
        </w:tc>
      </w:tr>
      <w:tr w14:paraId="44183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625CC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3916090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337E5C8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cs="宋体"/>
                <w:color w:val="auto"/>
                <w:szCs w:val="21"/>
                <w:highlight w:val="none"/>
              </w:rPr>
              <w:t>上进行公示，</w:t>
            </w:r>
            <w:bookmarkStart w:id="126" w:name="OLE_LINK16"/>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bookmarkEnd w:id="126"/>
            <w:r>
              <w:rPr>
                <w:rFonts w:hint="eastAsia" w:ascii="宋体" w:hAnsi="宋体" w:cs="宋体"/>
                <w:color w:val="auto"/>
                <w:szCs w:val="21"/>
                <w:highlight w:val="none"/>
              </w:rPr>
              <w:t>。</w:t>
            </w:r>
          </w:p>
        </w:tc>
      </w:tr>
      <w:tr w14:paraId="2A0ED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E3F9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419FBA0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1959657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比选人</w:t>
            </w:r>
            <w:r>
              <w:rPr>
                <w:rFonts w:hint="eastAsia" w:ascii="宋体" w:hAnsi="宋体"/>
                <w:i/>
                <w:color w:val="auto"/>
                <w:kern w:val="0"/>
                <w:szCs w:val="21"/>
                <w:highlight w:val="none"/>
              </w:rPr>
              <w:t>要求中标人提供履约担保的，应向中标人提供相应的支付担保。]</w:t>
            </w:r>
          </w:p>
          <w:p w14:paraId="56EB818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34BF3E3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（1）履约担保的形式：现金或银行保函或现金+银行保函的组合；采用银行保函形式的，保函必须为不可撤销且见索即付；</w:t>
            </w:r>
          </w:p>
          <w:p w14:paraId="30ACDD4C">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中标金额10%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4889C66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14:paraId="2E2A98C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14:paraId="3F31D13D">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（5）履约担保的退还时间：见专用合同条款。</w:t>
            </w:r>
          </w:p>
        </w:tc>
      </w:tr>
      <w:tr w14:paraId="358E4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CC6A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181629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58B29BD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须知第8.1（1）执行；</w:t>
            </w:r>
          </w:p>
          <w:p w14:paraId="05807C1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须知第8.1（2）执行；</w:t>
            </w:r>
          </w:p>
          <w:p w14:paraId="718A7AFB">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须知第8.1（3）执行；</w:t>
            </w:r>
          </w:p>
          <w:p w14:paraId="481C7324">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038957BA">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67C28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2CEB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2C7E7D7F">
            <w:pPr>
              <w:snapToGrid w:val="0"/>
              <w:spacing w:line="400" w:lineRule="exact"/>
              <w:jc w:val="center"/>
              <w:rPr>
                <w:color w:val="auto"/>
                <w:highlight w:val="none"/>
              </w:rPr>
            </w:pPr>
            <w:bookmarkStart w:id="127" w:name="_Toc13210670"/>
            <w:bookmarkStart w:id="128" w:name="_Toc509218709"/>
            <w:bookmarkStart w:id="129" w:name="_Toc16930431"/>
            <w:bookmarkStart w:id="130" w:name="_Toc430530434"/>
            <w:bookmarkStart w:id="131"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27"/>
            <w:bookmarkEnd w:id="128"/>
            <w:bookmarkEnd w:id="129"/>
            <w:bookmarkEnd w:id="130"/>
            <w:bookmarkEnd w:id="131"/>
          </w:p>
        </w:tc>
        <w:tc>
          <w:tcPr>
            <w:tcW w:w="6490" w:type="dxa"/>
            <w:vAlign w:val="center"/>
          </w:tcPr>
          <w:p w14:paraId="1849CF0E">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1BCAA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3404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365FC9A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3F945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BCCE9F">
            <w:pPr>
              <w:snapToGrid w:val="0"/>
              <w:spacing w:line="400" w:lineRule="exact"/>
              <w:jc w:val="center"/>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644" w:type="dxa"/>
            <w:vAlign w:val="center"/>
          </w:tcPr>
          <w:p w14:paraId="2EB8EEB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31649000">
            <w:pPr>
              <w:widowControl/>
              <w:spacing w:line="400" w:lineRule="exact"/>
              <w:ind w:firstLine="420" w:firstLineChars="200"/>
              <w:rPr>
                <w:rFonts w:ascii="宋体" w:hAnsi="宋体"/>
                <w:color w:val="auto"/>
                <w:kern w:val="0"/>
                <w:szCs w:val="21"/>
                <w:highlight w:val="none"/>
              </w:rPr>
            </w:pPr>
            <w:bookmarkStart w:id="132" w:name="OLE_LINK11"/>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竞选人</w:t>
            </w:r>
            <w:r>
              <w:rPr>
                <w:rFonts w:ascii="宋体" w:hAnsi="宋体"/>
                <w:color w:val="auto"/>
                <w:kern w:val="0"/>
                <w:szCs w:val="21"/>
                <w:highlight w:val="none"/>
              </w:rPr>
              <w:t>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的答复不满意，可向行政监督部门投诉。</w:t>
            </w:r>
          </w:p>
          <w:p w14:paraId="0D6F1C9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0484E4E7">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06E65F7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1914AC3C">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614331C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24EF5A81">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656CA41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58F56F6">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5B8B4044">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3..异议受理单位：</w:t>
            </w:r>
            <w:bookmarkStart w:id="133" w:name="OLE_LINK5"/>
            <w:r>
              <w:rPr>
                <w:rFonts w:hint="eastAsia" w:ascii="宋体" w:hAnsi="宋体"/>
                <w:color w:val="auto"/>
                <w:kern w:val="0"/>
                <w:szCs w:val="21"/>
                <w:highlight w:val="none"/>
                <w:lang w:eastAsia="zh-CN"/>
              </w:rPr>
              <w:t>重庆乾睿置业发展有限公司成本管理部</w:t>
            </w:r>
          </w:p>
          <w:bookmarkEnd w:id="133"/>
          <w:p w14:paraId="7FB19C4C">
            <w:pPr>
              <w:widowControl/>
              <w:spacing w:line="400" w:lineRule="exact"/>
              <w:ind w:firstLine="630" w:firstLineChars="300"/>
              <w:rPr>
                <w:rFonts w:hint="eastAsia" w:ascii="宋体" w:hAnsi="宋体"/>
                <w:color w:val="auto"/>
                <w:kern w:val="0"/>
                <w:szCs w:val="21"/>
                <w:highlight w:val="none"/>
                <w:lang w:val="en-US" w:eastAsia="zh-CN"/>
              </w:rPr>
            </w:pPr>
            <w:bookmarkStart w:id="134" w:name="OLE_LINK6"/>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62823880</w:t>
            </w:r>
          </w:p>
          <w:bookmarkEnd w:id="134"/>
          <w:p w14:paraId="1740DF60">
            <w:pPr>
              <w:widowControl/>
              <w:spacing w:line="400" w:lineRule="exact"/>
              <w:ind w:firstLine="630" w:firstLineChars="300"/>
              <w:rPr>
                <w:rFonts w:hint="default" w:ascii="宋体" w:hAnsi="宋体"/>
                <w:color w:val="auto"/>
                <w:kern w:val="0"/>
                <w:szCs w:val="21"/>
                <w:highlight w:val="none"/>
                <w:lang w:val="en-US"/>
              </w:rPr>
            </w:pPr>
            <w:r>
              <w:rPr>
                <w:rFonts w:hint="eastAsia"/>
                <w:color w:val="auto"/>
                <w:highlight w:val="none"/>
                <w:lang w:val="en-US" w:eastAsia="zh-CN"/>
              </w:rPr>
              <w:t>投诉受理单位：</w:t>
            </w:r>
            <w:r>
              <w:rPr>
                <w:rFonts w:hint="eastAsia" w:ascii="宋体" w:hAnsi="宋体"/>
                <w:color w:val="auto"/>
                <w:kern w:val="0"/>
                <w:szCs w:val="21"/>
                <w:highlight w:val="none"/>
                <w:lang w:eastAsia="zh-CN"/>
              </w:rPr>
              <w:t>重庆广阳湾生态城投资发展集团有限公司党群人事部</w:t>
            </w:r>
          </w:p>
          <w:p w14:paraId="1D8F495E">
            <w:pPr>
              <w:widowControl/>
              <w:spacing w:line="400" w:lineRule="exact"/>
              <w:ind w:firstLine="630" w:firstLineChars="300"/>
              <w:rPr>
                <w:rFonts w:hint="default"/>
                <w:color w:val="auto"/>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62632090</w:t>
            </w:r>
            <w:bookmarkEnd w:id="132"/>
          </w:p>
        </w:tc>
      </w:tr>
      <w:tr w14:paraId="59677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47CEE7ED">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Merge w:val="restart"/>
            <w:vAlign w:val="center"/>
          </w:tcPr>
          <w:p w14:paraId="3AB63D0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53DCABD4">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项目招标</w:t>
            </w:r>
            <w:r>
              <w:rPr>
                <w:rFonts w:hint="eastAsia" w:ascii="宋体" w:hAnsi="宋体" w:eastAsia="宋体" w:cs="Times New Roman"/>
                <w:color w:val="auto"/>
                <w:kern w:val="0"/>
                <w:szCs w:val="21"/>
                <w:highlight w:val="none"/>
              </w:rPr>
              <w:t>代理费</w:t>
            </w:r>
            <w:r>
              <w:rPr>
                <w:rFonts w:hint="eastAsia" w:ascii="宋体" w:hAnsi="宋体" w:cs="Times New Roman"/>
                <w:color w:val="auto"/>
                <w:kern w:val="0"/>
                <w:szCs w:val="21"/>
                <w:highlight w:val="none"/>
                <w:lang w:val="en-US" w:eastAsia="zh-CN"/>
              </w:rPr>
              <w:t>为5000.00元</w:t>
            </w:r>
            <w:r>
              <w:rPr>
                <w:rFonts w:hint="eastAsia" w:ascii="宋体" w:hAnsi="宋体" w:eastAsia="宋体" w:cs="Times New Roman"/>
                <w:color w:val="auto"/>
                <w:kern w:val="0"/>
                <w:szCs w:val="21"/>
                <w:highlight w:val="none"/>
              </w:rPr>
              <w:t>，由中标单位在领取中标通知书时一次性向招标代理公司支付。</w:t>
            </w:r>
          </w:p>
          <w:p w14:paraId="6046D493">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该费用竞标人自行考虑在竞标报价中，比选人不单独支付费用。</w:t>
            </w:r>
          </w:p>
        </w:tc>
      </w:tr>
      <w:tr w14:paraId="0C485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25C01BB8">
            <w:pPr>
              <w:snapToGrid w:val="0"/>
              <w:spacing w:line="400" w:lineRule="exact"/>
              <w:jc w:val="center"/>
              <w:rPr>
                <w:rFonts w:hint="eastAsia" w:ascii="宋体" w:hAnsi="宋体"/>
                <w:color w:val="auto"/>
                <w:kern w:val="0"/>
                <w:szCs w:val="21"/>
                <w:highlight w:val="none"/>
              </w:rPr>
            </w:pPr>
            <w:bookmarkStart w:id="135" w:name="_Toc430530435"/>
            <w:bookmarkStart w:id="136" w:name="_Toc287620685"/>
            <w:bookmarkStart w:id="137" w:name="_Toc287607746"/>
            <w:bookmarkStart w:id="138" w:name="_Toc200513126"/>
            <w:bookmarkStart w:id="139" w:name="_Toc277082552"/>
            <w:bookmarkStart w:id="140" w:name="_Toc224103317"/>
          </w:p>
        </w:tc>
        <w:tc>
          <w:tcPr>
            <w:tcW w:w="1644" w:type="dxa"/>
            <w:vMerge w:val="continue"/>
            <w:vAlign w:val="center"/>
          </w:tcPr>
          <w:p w14:paraId="23CB8864">
            <w:pPr>
              <w:snapToGrid w:val="0"/>
              <w:spacing w:line="400" w:lineRule="exact"/>
              <w:jc w:val="center"/>
              <w:rPr>
                <w:rFonts w:hint="eastAsia" w:ascii="宋体" w:hAnsi="宋体"/>
                <w:color w:val="auto"/>
                <w:kern w:val="0"/>
                <w:szCs w:val="21"/>
                <w:highlight w:val="none"/>
              </w:rPr>
            </w:pPr>
          </w:p>
        </w:tc>
        <w:tc>
          <w:tcPr>
            <w:tcW w:w="6490" w:type="dxa"/>
            <w:vAlign w:val="center"/>
          </w:tcPr>
          <w:p w14:paraId="12F03203">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比选文件每套售</w:t>
            </w:r>
            <w:r>
              <w:rPr>
                <w:rFonts w:hint="eastAsia" w:ascii="宋体" w:hAnsi="宋体" w:cs="Times New Roman"/>
                <w:color w:val="auto"/>
                <w:kern w:val="0"/>
                <w:szCs w:val="21"/>
                <w:highlight w:val="none"/>
                <w:lang w:val="en-US" w:eastAsia="zh-CN"/>
              </w:rPr>
              <w:t>500</w:t>
            </w:r>
            <w:r>
              <w:rPr>
                <w:rFonts w:hint="eastAsia" w:ascii="宋体" w:hAnsi="宋体" w:eastAsia="宋体" w:cs="Times New Roman"/>
                <w:color w:val="auto"/>
                <w:kern w:val="0"/>
                <w:szCs w:val="21"/>
                <w:highlight w:val="none"/>
              </w:rPr>
              <w:t>元，售后不退。投标人递交投标文件时支付比选文件的费用，否则比选人和比选代理机构将不予接收其投标文件。</w:t>
            </w:r>
          </w:p>
        </w:tc>
      </w:tr>
    </w:tbl>
    <w:p w14:paraId="0AEABC3A">
      <w:pPr>
        <w:pStyle w:val="5"/>
        <w:spacing w:before="0" w:after="0" w:line="20" w:lineRule="exact"/>
        <w:rPr>
          <w:rFonts w:ascii="宋体" w:hAnsi="宋体"/>
          <w:b w:val="0"/>
          <w:snapToGrid w:val="0"/>
          <w:color w:val="auto"/>
          <w:highlight w:val="none"/>
        </w:rPr>
      </w:pPr>
    </w:p>
    <w:p w14:paraId="741233CD">
      <w:pPr>
        <w:pStyle w:val="5"/>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35"/>
    <w:bookmarkEnd w:id="136"/>
    <w:bookmarkEnd w:id="137"/>
    <w:bookmarkEnd w:id="138"/>
    <w:bookmarkEnd w:id="139"/>
    <w:bookmarkEnd w:id="140"/>
    <w:p w14:paraId="0D9ABA8D">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1" w:name="_Toc24172"/>
      <w:bookmarkStart w:id="142" w:name="_Toc19008"/>
      <w:r>
        <w:rPr>
          <w:rFonts w:hint="eastAsia" w:ascii="宋体" w:hAnsi="宋体" w:eastAsia="宋体" w:cs="宋体"/>
          <w:color w:val="auto"/>
          <w:sz w:val="21"/>
          <w:szCs w:val="21"/>
          <w:highlight w:val="none"/>
        </w:rPr>
        <w:t>1.总则</w:t>
      </w:r>
      <w:bookmarkEnd w:id="141"/>
      <w:bookmarkEnd w:id="142"/>
    </w:p>
    <w:p w14:paraId="43CD61B4">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3" w:name="_Toc293756837"/>
      <w:bookmarkStart w:id="144" w:name="_Toc15688"/>
      <w:bookmarkStart w:id="145" w:name="_Toc9752"/>
      <w:bookmarkStart w:id="146" w:name="_Toc293756840"/>
      <w:r>
        <w:rPr>
          <w:rFonts w:hint="eastAsia" w:ascii="宋体" w:hAnsi="宋体" w:eastAsia="宋体" w:cs="宋体"/>
          <w:color w:val="auto"/>
          <w:sz w:val="21"/>
          <w:szCs w:val="21"/>
          <w:highlight w:val="none"/>
        </w:rPr>
        <w:t>1.1 项目概况</w:t>
      </w:r>
      <w:bookmarkEnd w:id="143"/>
      <w:bookmarkEnd w:id="144"/>
      <w:bookmarkEnd w:id="145"/>
    </w:p>
    <w:p w14:paraId="2567B8F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745B7EF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w:t>
      </w:r>
      <w:r>
        <w:rPr>
          <w:rFonts w:hint="eastAsia" w:ascii="宋体" w:hAnsi="宋体" w:cs="宋体"/>
          <w:color w:val="auto"/>
          <w:sz w:val="21"/>
          <w:szCs w:val="21"/>
          <w:highlight w:val="none"/>
          <w:lang w:eastAsia="zh-CN"/>
        </w:rPr>
        <w:t>服务地点</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CE32C9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4CC20F8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4F51DA3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w:t>
      </w:r>
      <w:r>
        <w:rPr>
          <w:rFonts w:hint="eastAsia" w:ascii="宋体" w:hAnsi="宋体" w:cs="宋体"/>
          <w:color w:val="auto"/>
          <w:sz w:val="21"/>
          <w:szCs w:val="21"/>
          <w:highlight w:val="none"/>
          <w:lang w:eastAsia="zh-CN"/>
        </w:rPr>
        <w:t>服务地点</w:t>
      </w:r>
      <w:r>
        <w:rPr>
          <w:rFonts w:hint="eastAsia" w:ascii="宋体" w:hAnsi="宋体" w:eastAsia="宋体" w:cs="宋体"/>
          <w:color w:val="auto"/>
          <w:sz w:val="21"/>
          <w:szCs w:val="21"/>
          <w:highlight w:val="none"/>
        </w:rPr>
        <w:t>：见投标人须知前附表。</w:t>
      </w:r>
    </w:p>
    <w:p w14:paraId="0EF66AE4">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14:paraId="45F72D51">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7" w:name="_Toc5437"/>
      <w:bookmarkStart w:id="148" w:name="_Toc293756838"/>
      <w:bookmarkStart w:id="149" w:name="_Toc30809"/>
      <w:r>
        <w:rPr>
          <w:rFonts w:hint="eastAsia" w:ascii="宋体" w:hAnsi="宋体" w:eastAsia="宋体" w:cs="宋体"/>
          <w:color w:val="auto"/>
          <w:sz w:val="21"/>
          <w:szCs w:val="21"/>
          <w:highlight w:val="none"/>
        </w:rPr>
        <w:t>1.2 资金来源和落实情况</w:t>
      </w:r>
      <w:bookmarkEnd w:id="147"/>
      <w:bookmarkEnd w:id="148"/>
      <w:bookmarkEnd w:id="149"/>
    </w:p>
    <w:p w14:paraId="5819951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0" w:name="_Toc293756839"/>
      <w:r>
        <w:rPr>
          <w:rFonts w:hint="eastAsia" w:ascii="宋体" w:hAnsi="宋体" w:eastAsia="宋体" w:cs="宋体"/>
          <w:color w:val="auto"/>
          <w:sz w:val="21"/>
          <w:szCs w:val="21"/>
          <w:highlight w:val="none"/>
        </w:rPr>
        <w:t>1.2.1  本招标项目的资金来源：见投标人须知前附表。</w:t>
      </w:r>
    </w:p>
    <w:p w14:paraId="669A40C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3B248CA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101CF61E">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1" w:name="_Toc19957"/>
      <w:bookmarkStart w:id="152" w:name="_Toc32556"/>
      <w:r>
        <w:rPr>
          <w:rFonts w:hint="eastAsia" w:ascii="宋体" w:hAnsi="宋体" w:eastAsia="宋体" w:cs="宋体"/>
          <w:color w:val="auto"/>
          <w:sz w:val="21"/>
          <w:szCs w:val="21"/>
          <w:highlight w:val="none"/>
        </w:rPr>
        <w:t>1.3 比选范围、</w:t>
      </w:r>
      <w:r>
        <w:rPr>
          <w:rFonts w:hint="eastAsia" w:ascii="宋体" w:hAnsi="宋体" w:cs="宋体"/>
          <w:color w:val="auto"/>
          <w:sz w:val="21"/>
          <w:szCs w:val="21"/>
          <w:highlight w:val="none"/>
          <w:lang w:eastAsia="zh-CN"/>
        </w:rPr>
        <w:t>计划服务期</w:t>
      </w:r>
      <w:r>
        <w:rPr>
          <w:rFonts w:hint="eastAsia" w:ascii="宋体" w:hAnsi="宋体" w:eastAsia="宋体" w:cs="宋体"/>
          <w:color w:val="auto"/>
          <w:sz w:val="21"/>
          <w:szCs w:val="21"/>
          <w:highlight w:val="none"/>
        </w:rPr>
        <w:t>和质量要求</w:t>
      </w:r>
      <w:bookmarkEnd w:id="150"/>
      <w:bookmarkEnd w:id="151"/>
      <w:bookmarkEnd w:id="152"/>
    </w:p>
    <w:p w14:paraId="5EE2BAA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039795C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cs="宋体"/>
          <w:color w:val="auto"/>
          <w:sz w:val="21"/>
          <w:szCs w:val="21"/>
          <w:highlight w:val="none"/>
          <w:lang w:eastAsia="zh-CN"/>
        </w:rPr>
        <w:t>计划服务期</w:t>
      </w:r>
      <w:r>
        <w:rPr>
          <w:rFonts w:hint="eastAsia" w:ascii="宋体" w:hAnsi="宋体" w:eastAsia="宋体" w:cs="宋体"/>
          <w:color w:val="auto"/>
          <w:sz w:val="21"/>
          <w:szCs w:val="21"/>
          <w:highlight w:val="none"/>
        </w:rPr>
        <w:t>：见投标人须知前附表。</w:t>
      </w:r>
    </w:p>
    <w:p w14:paraId="1906AD9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02A2E121">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17870"/>
      <w:bookmarkStart w:id="154" w:name="_Toc9928"/>
      <w:r>
        <w:rPr>
          <w:rFonts w:hint="eastAsia" w:ascii="宋体" w:hAnsi="宋体" w:eastAsia="宋体" w:cs="宋体"/>
          <w:color w:val="auto"/>
          <w:sz w:val="21"/>
          <w:szCs w:val="21"/>
          <w:highlight w:val="none"/>
        </w:rPr>
        <w:t xml:space="preserve">1.4 </w:t>
      </w:r>
      <w:bookmarkEnd w:id="146"/>
      <w:r>
        <w:rPr>
          <w:rFonts w:hint="eastAsia" w:ascii="宋体" w:hAnsi="宋体" w:eastAsia="宋体" w:cs="宋体"/>
          <w:color w:val="auto"/>
          <w:sz w:val="21"/>
          <w:szCs w:val="21"/>
          <w:highlight w:val="none"/>
          <w:lang w:eastAsia="zh-CN"/>
        </w:rPr>
        <w:t>投标人资格要求</w:t>
      </w:r>
      <w:bookmarkEnd w:id="153"/>
      <w:bookmarkEnd w:id="154"/>
    </w:p>
    <w:p w14:paraId="6B3D190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A6E239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197D61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B82B72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19C3CC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）其他要求：见投标人须知前附表。</w:t>
      </w:r>
    </w:p>
    <w:p w14:paraId="46EFCB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15B5121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244AB46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684C968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741552C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6C30DE2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5714F4A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1BC6A79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025DA5B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37B0D50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6C294EF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47856BF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7E3CDD0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3F8647B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3CA53BBF">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5" w:name="_Toc293756841"/>
      <w:bookmarkStart w:id="156" w:name="_Toc5895"/>
      <w:bookmarkStart w:id="157" w:name="_Toc4874"/>
      <w:r>
        <w:rPr>
          <w:rFonts w:hint="eastAsia" w:ascii="宋体" w:hAnsi="宋体" w:eastAsia="宋体" w:cs="宋体"/>
          <w:color w:val="auto"/>
          <w:sz w:val="21"/>
          <w:szCs w:val="21"/>
          <w:highlight w:val="none"/>
        </w:rPr>
        <w:t>1.5 费用承担</w:t>
      </w:r>
      <w:bookmarkEnd w:id="155"/>
      <w:bookmarkEnd w:id="156"/>
      <w:bookmarkEnd w:id="157"/>
    </w:p>
    <w:p w14:paraId="5AFD03C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3F87A911">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8" w:name="_Toc20653"/>
      <w:bookmarkStart w:id="159" w:name="_Toc293756842"/>
      <w:bookmarkStart w:id="160" w:name="_Toc11009"/>
      <w:r>
        <w:rPr>
          <w:rFonts w:hint="eastAsia" w:ascii="宋体" w:hAnsi="宋体" w:eastAsia="宋体" w:cs="宋体"/>
          <w:color w:val="auto"/>
          <w:sz w:val="21"/>
          <w:szCs w:val="21"/>
          <w:highlight w:val="none"/>
        </w:rPr>
        <w:t>1.6 保密</w:t>
      </w:r>
      <w:bookmarkEnd w:id="158"/>
      <w:bookmarkEnd w:id="159"/>
      <w:bookmarkEnd w:id="160"/>
    </w:p>
    <w:p w14:paraId="6601D95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42ACFBC3">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1" w:name="_Toc1463"/>
      <w:bookmarkStart w:id="162" w:name="_Toc293756843"/>
      <w:bookmarkStart w:id="163" w:name="_Toc18963"/>
      <w:r>
        <w:rPr>
          <w:rFonts w:hint="eastAsia" w:ascii="宋体" w:hAnsi="宋体" w:eastAsia="宋体" w:cs="宋体"/>
          <w:color w:val="auto"/>
          <w:sz w:val="21"/>
          <w:szCs w:val="21"/>
          <w:highlight w:val="none"/>
        </w:rPr>
        <w:t>1.7 语言文字</w:t>
      </w:r>
      <w:bookmarkEnd w:id="161"/>
      <w:bookmarkEnd w:id="162"/>
      <w:bookmarkEnd w:id="163"/>
    </w:p>
    <w:p w14:paraId="00DC078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42582370">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93756844"/>
      <w:bookmarkStart w:id="165" w:name="_Toc17114"/>
      <w:bookmarkStart w:id="166" w:name="_Toc104"/>
      <w:r>
        <w:rPr>
          <w:rFonts w:hint="eastAsia" w:ascii="宋体" w:hAnsi="宋体" w:eastAsia="宋体" w:cs="宋体"/>
          <w:color w:val="auto"/>
          <w:sz w:val="21"/>
          <w:szCs w:val="21"/>
          <w:highlight w:val="none"/>
        </w:rPr>
        <w:t>1.8 计量单位</w:t>
      </w:r>
      <w:bookmarkEnd w:id="164"/>
      <w:bookmarkEnd w:id="165"/>
      <w:bookmarkEnd w:id="166"/>
    </w:p>
    <w:p w14:paraId="5CC2C4B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147E4604">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7" w:name="_Toc293756845"/>
      <w:bookmarkStart w:id="168" w:name="_Toc2427"/>
      <w:bookmarkStart w:id="169" w:name="_Toc12321"/>
      <w:r>
        <w:rPr>
          <w:rFonts w:hint="eastAsia" w:ascii="宋体" w:hAnsi="宋体" w:eastAsia="宋体" w:cs="宋体"/>
          <w:color w:val="auto"/>
          <w:sz w:val="21"/>
          <w:szCs w:val="21"/>
          <w:highlight w:val="none"/>
        </w:rPr>
        <w:t>1.9 踏勘现场</w:t>
      </w:r>
      <w:bookmarkEnd w:id="167"/>
      <w:bookmarkEnd w:id="168"/>
      <w:bookmarkEnd w:id="169"/>
    </w:p>
    <w:p w14:paraId="3B7626F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2AC26E4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478980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2E1D7A5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16A748FD">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0" w:name="_Toc293756846"/>
      <w:bookmarkStart w:id="171" w:name="_Toc3560"/>
      <w:bookmarkStart w:id="172" w:name="_Toc30203"/>
      <w:r>
        <w:rPr>
          <w:rFonts w:hint="eastAsia" w:ascii="宋体" w:hAnsi="宋体" w:eastAsia="宋体" w:cs="宋体"/>
          <w:color w:val="auto"/>
          <w:sz w:val="21"/>
          <w:szCs w:val="21"/>
          <w:highlight w:val="none"/>
        </w:rPr>
        <w:t>1.10 比选预备会</w:t>
      </w:r>
      <w:bookmarkEnd w:id="170"/>
      <w:bookmarkEnd w:id="171"/>
      <w:bookmarkEnd w:id="172"/>
    </w:p>
    <w:p w14:paraId="315CC83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29DAC51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2E5FEC1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2A31D0F0">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3" w:name="_Toc293756847"/>
      <w:bookmarkStart w:id="174" w:name="_Toc2223"/>
      <w:bookmarkStart w:id="175" w:name="_Toc13696"/>
      <w:r>
        <w:rPr>
          <w:rFonts w:hint="eastAsia" w:ascii="宋体" w:hAnsi="宋体" w:eastAsia="宋体" w:cs="宋体"/>
          <w:color w:val="auto"/>
          <w:sz w:val="21"/>
          <w:szCs w:val="21"/>
          <w:highlight w:val="none"/>
        </w:rPr>
        <w:t>1.11 分包</w:t>
      </w:r>
      <w:bookmarkEnd w:id="173"/>
      <w:bookmarkEnd w:id="174"/>
      <w:bookmarkEnd w:id="175"/>
    </w:p>
    <w:p w14:paraId="410DFA9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不允许</w:t>
      </w:r>
      <w:r>
        <w:rPr>
          <w:rFonts w:hint="eastAsia" w:ascii="宋体" w:hAnsi="宋体" w:eastAsia="宋体" w:cs="宋体"/>
          <w:color w:val="auto"/>
          <w:sz w:val="21"/>
          <w:szCs w:val="21"/>
          <w:highlight w:val="none"/>
        </w:rPr>
        <w:t>。</w:t>
      </w:r>
    </w:p>
    <w:p w14:paraId="4016A749">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7EC5212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3504AD84">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6" w:name="_Toc21334"/>
      <w:bookmarkStart w:id="177" w:name="_Toc3385"/>
      <w:r>
        <w:rPr>
          <w:rFonts w:hint="eastAsia" w:ascii="宋体" w:hAnsi="宋体" w:eastAsia="宋体" w:cs="宋体"/>
          <w:color w:val="auto"/>
          <w:sz w:val="21"/>
          <w:szCs w:val="21"/>
          <w:highlight w:val="none"/>
        </w:rPr>
        <w:t>2.比选文件</w:t>
      </w:r>
      <w:bookmarkEnd w:id="176"/>
      <w:bookmarkEnd w:id="177"/>
    </w:p>
    <w:p w14:paraId="77D7150A">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8" w:name="_Toc25177"/>
      <w:bookmarkStart w:id="179" w:name="_Toc19819"/>
      <w:bookmarkStart w:id="180" w:name="_Toc293756848"/>
      <w:r>
        <w:rPr>
          <w:rFonts w:hint="eastAsia" w:ascii="宋体" w:hAnsi="宋体" w:eastAsia="宋体" w:cs="宋体"/>
          <w:color w:val="auto"/>
          <w:sz w:val="21"/>
          <w:szCs w:val="21"/>
          <w:highlight w:val="none"/>
        </w:rPr>
        <w:t>2.1比选文件的组成</w:t>
      </w:r>
      <w:bookmarkEnd w:id="178"/>
      <w:bookmarkEnd w:id="179"/>
      <w:bookmarkEnd w:id="180"/>
    </w:p>
    <w:p w14:paraId="015A4AB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1468927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1DDAE25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18F70F8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785D88B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4044128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14:paraId="602AFEC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）投标文件格式；</w:t>
      </w:r>
    </w:p>
    <w:p w14:paraId="673FF45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14:paraId="2757491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58014E3B">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1" w:name="_Toc17073"/>
      <w:bookmarkStart w:id="182" w:name="_Toc293756849"/>
      <w:bookmarkStart w:id="183" w:name="_Toc24087"/>
      <w:r>
        <w:rPr>
          <w:rFonts w:hint="eastAsia" w:ascii="宋体" w:hAnsi="宋体" w:eastAsia="宋体" w:cs="宋体"/>
          <w:color w:val="auto"/>
          <w:sz w:val="21"/>
          <w:szCs w:val="21"/>
          <w:highlight w:val="none"/>
        </w:rPr>
        <w:t>2.2比选文件的澄清</w:t>
      </w:r>
      <w:bookmarkEnd w:id="181"/>
      <w:bookmarkEnd w:id="182"/>
      <w:bookmarkEnd w:id="183"/>
    </w:p>
    <w:p w14:paraId="2EA0EF3E">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49DCB76A">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天前</w:t>
      </w:r>
      <w:r>
        <w:rPr>
          <w:rFonts w:hint="eastAsia" w:ascii="宋体" w:hAnsi="宋体" w:eastAsia="宋体" w:cs="宋体"/>
          <w:color w:val="auto"/>
          <w:sz w:val="21"/>
          <w:szCs w:val="21"/>
          <w:highlight w:val="none"/>
          <w:u w:val="none"/>
        </w:rPr>
        <w:t>在行采家(https://www.gec123.com/）</w:t>
      </w:r>
      <w:r>
        <w:rPr>
          <w:rFonts w:hint="eastAsia" w:ascii="宋体" w:hAnsi="宋体" w:cs="宋体"/>
          <w:color w:val="auto"/>
          <w:sz w:val="21"/>
          <w:szCs w:val="21"/>
          <w:highlight w:val="none"/>
          <w:u w:val="non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天，相应延长投标截止时间。</w:t>
      </w:r>
    </w:p>
    <w:p w14:paraId="67EF322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日的，须相应延后投标截止时间。</w:t>
      </w:r>
    </w:p>
    <w:p w14:paraId="25C960B3">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4" w:name="_Toc293756850"/>
      <w:bookmarkStart w:id="185" w:name="_Toc18491"/>
      <w:bookmarkStart w:id="186" w:name="_Toc25781"/>
      <w:r>
        <w:rPr>
          <w:rFonts w:hint="eastAsia" w:ascii="宋体" w:hAnsi="宋体" w:eastAsia="宋体" w:cs="宋体"/>
          <w:color w:val="auto"/>
          <w:sz w:val="21"/>
          <w:szCs w:val="21"/>
          <w:highlight w:val="none"/>
        </w:rPr>
        <w:t>2.3比选文件的修改</w:t>
      </w:r>
      <w:bookmarkEnd w:id="184"/>
      <w:bookmarkEnd w:id="185"/>
      <w:bookmarkEnd w:id="186"/>
    </w:p>
    <w:p w14:paraId="1D3F1C5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2444EBA9">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7" w:name="_Toc293756851"/>
      <w:bookmarkStart w:id="188" w:name="_Toc17803"/>
      <w:bookmarkStart w:id="189"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87"/>
      <w:bookmarkEnd w:id="188"/>
      <w:bookmarkEnd w:id="189"/>
    </w:p>
    <w:p w14:paraId="6F44229E">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0" w:name="_Toc293756852"/>
      <w:bookmarkStart w:id="191" w:name="_Toc27406"/>
      <w:bookmarkStart w:id="192" w:name="_Toc107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90"/>
      <w:bookmarkEnd w:id="191"/>
      <w:bookmarkEnd w:id="192"/>
    </w:p>
    <w:p w14:paraId="13DE12E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6C537EB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）竞选函</w:t>
      </w:r>
      <w:r>
        <w:rPr>
          <w:rFonts w:hint="eastAsia" w:ascii="宋体" w:hAnsi="宋体" w:cs="宋体"/>
          <w:color w:val="auto"/>
          <w:sz w:val="21"/>
          <w:szCs w:val="21"/>
          <w:highlight w:val="none"/>
          <w:lang w:eastAsia="zh-CN"/>
        </w:rPr>
        <w:t>；</w:t>
      </w:r>
    </w:p>
    <w:p w14:paraId="2F29044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）法定代表人身份证明或附有法定代表人身份证明的授权委托书</w:t>
      </w:r>
      <w:r>
        <w:rPr>
          <w:rFonts w:hint="eastAsia" w:ascii="宋体" w:hAnsi="宋体" w:cs="宋体"/>
          <w:color w:val="auto"/>
          <w:sz w:val="21"/>
          <w:szCs w:val="21"/>
          <w:highlight w:val="none"/>
          <w:lang w:eastAsia="zh-CN"/>
        </w:rPr>
        <w:t>；</w:t>
      </w:r>
    </w:p>
    <w:p w14:paraId="3F783D6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）项目拟派人员</w:t>
      </w:r>
      <w:r>
        <w:rPr>
          <w:rFonts w:hint="eastAsia" w:ascii="宋体" w:hAnsi="宋体" w:cs="宋体"/>
          <w:color w:val="auto"/>
          <w:sz w:val="21"/>
          <w:szCs w:val="21"/>
          <w:highlight w:val="none"/>
          <w:lang w:eastAsia="zh-CN"/>
        </w:rPr>
        <w:t>；</w:t>
      </w:r>
    </w:p>
    <w:p w14:paraId="7CFCBBA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）类似项目情况表</w:t>
      </w:r>
      <w:r>
        <w:rPr>
          <w:rFonts w:hint="eastAsia" w:ascii="宋体" w:hAnsi="宋体" w:cs="宋体"/>
          <w:color w:val="auto"/>
          <w:sz w:val="21"/>
          <w:szCs w:val="21"/>
          <w:highlight w:val="none"/>
          <w:lang w:eastAsia="zh-CN"/>
        </w:rPr>
        <w:t>；</w:t>
      </w:r>
    </w:p>
    <w:p w14:paraId="7730E35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lang w:eastAsia="zh-CN"/>
        </w:rPr>
        <w:t>；</w:t>
      </w:r>
    </w:p>
    <w:p w14:paraId="785B4DB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）技术方案</w:t>
      </w:r>
      <w:r>
        <w:rPr>
          <w:rFonts w:hint="eastAsia" w:ascii="宋体" w:hAnsi="宋体" w:cs="宋体"/>
          <w:color w:val="auto"/>
          <w:sz w:val="21"/>
          <w:szCs w:val="21"/>
          <w:highlight w:val="none"/>
          <w:lang w:eastAsia="zh-CN"/>
        </w:rPr>
        <w:t>；</w:t>
      </w:r>
    </w:p>
    <w:p w14:paraId="5F21B40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）其他资料；</w:t>
      </w:r>
    </w:p>
    <w:p w14:paraId="73CC5C0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14:paraId="2A3DF08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67193810">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3" w:name="_Toc31235"/>
      <w:bookmarkStart w:id="194"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93"/>
      <w:bookmarkEnd w:id="194"/>
    </w:p>
    <w:p w14:paraId="5478DE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w:t>
      </w:r>
      <w:r>
        <w:rPr>
          <w:rFonts w:hint="eastAsia" w:ascii="宋体" w:hAnsi="宋体" w:cs="宋体"/>
          <w:color w:val="auto"/>
          <w:sz w:val="21"/>
          <w:szCs w:val="21"/>
          <w:highlight w:val="none"/>
          <w:lang w:val="en-US" w:eastAsia="zh-CN"/>
        </w:rPr>
        <w:t>比选文件</w:t>
      </w:r>
      <w:r>
        <w:rPr>
          <w:rFonts w:hint="eastAsia" w:ascii="宋体" w:hAnsi="宋体" w:eastAsia="宋体" w:cs="宋体"/>
          <w:color w:val="auto"/>
          <w:sz w:val="21"/>
          <w:szCs w:val="21"/>
          <w:highlight w:val="none"/>
        </w:rPr>
        <w:t>要求填写相应表格。</w:t>
      </w:r>
    </w:p>
    <w:p w14:paraId="18D90644">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95" w:name="_Toc7504"/>
      <w:bookmarkStart w:id="196" w:name="_Toc3741"/>
      <w:r>
        <w:rPr>
          <w:rFonts w:hint="eastAsia" w:ascii="宋体" w:hAnsi="宋体" w:eastAsia="宋体" w:cs="宋体"/>
          <w:color w:val="auto"/>
          <w:sz w:val="21"/>
          <w:szCs w:val="21"/>
          <w:highlight w:val="none"/>
          <w:lang w:val="en-US" w:eastAsia="zh-CN"/>
        </w:rPr>
        <w:t>3.3  投标有效期</w:t>
      </w:r>
      <w:bookmarkEnd w:id="195"/>
      <w:bookmarkEnd w:id="196"/>
    </w:p>
    <w:p w14:paraId="4CAFFD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648271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DC66B9D">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7" w:name="_Toc8270"/>
      <w:bookmarkStart w:id="198" w:name="_Toc293756853"/>
      <w:bookmarkStart w:id="199" w:name="_Toc5887"/>
      <w:r>
        <w:rPr>
          <w:rFonts w:hint="eastAsia" w:ascii="宋体" w:hAnsi="宋体" w:eastAsia="宋体" w:cs="宋体"/>
          <w:color w:val="auto"/>
          <w:sz w:val="21"/>
          <w:szCs w:val="21"/>
          <w:highlight w:val="none"/>
        </w:rPr>
        <w:t>3.4 比选保证金</w:t>
      </w:r>
      <w:bookmarkEnd w:id="197"/>
      <w:bookmarkEnd w:id="198"/>
      <w:bookmarkEnd w:id="199"/>
    </w:p>
    <w:p w14:paraId="367075F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3E28B52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02DDAA3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1505D9B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39BB368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2AD2F81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0F0D243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779E1A2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53012BFC">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297EFB56">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0" w:name="_Toc293756854"/>
      <w:bookmarkStart w:id="201" w:name="_Toc24991"/>
      <w:bookmarkStart w:id="202" w:name="_Toc250"/>
      <w:r>
        <w:rPr>
          <w:rFonts w:hint="eastAsia" w:ascii="宋体" w:hAnsi="宋体" w:eastAsia="宋体" w:cs="宋体"/>
          <w:color w:val="auto"/>
          <w:sz w:val="21"/>
          <w:szCs w:val="21"/>
          <w:highlight w:val="none"/>
        </w:rPr>
        <w:t>3.5 资格审查资料</w:t>
      </w:r>
      <w:bookmarkEnd w:id="200"/>
      <w:bookmarkEnd w:id="201"/>
      <w:bookmarkEnd w:id="202"/>
    </w:p>
    <w:p w14:paraId="3E4E19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462B97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7D77A527">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1C57DF6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5B200171">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3217204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03" w:name="_Toc293756855"/>
      <w:r>
        <w:rPr>
          <w:rFonts w:hint="eastAsia" w:ascii="宋体" w:hAnsi="宋体" w:eastAsia="宋体" w:cs="宋体"/>
          <w:color w:val="auto"/>
          <w:sz w:val="21"/>
          <w:szCs w:val="21"/>
          <w:highlight w:val="none"/>
        </w:rPr>
        <w:t>3.7.1  投标文件应按第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7F13357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67D8B60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4EAA0F8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3C8D0C1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5B187327">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4" w:name="_Toc29539"/>
      <w:bookmarkStart w:id="205" w:name="_Toc10924"/>
      <w:r>
        <w:rPr>
          <w:rFonts w:hint="eastAsia" w:ascii="宋体" w:hAnsi="宋体" w:eastAsia="宋体" w:cs="宋体"/>
          <w:color w:val="auto"/>
          <w:sz w:val="21"/>
          <w:szCs w:val="21"/>
          <w:highlight w:val="none"/>
        </w:rPr>
        <w:t xml:space="preserve">4. </w:t>
      </w:r>
      <w:bookmarkEnd w:id="203"/>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204"/>
      <w:bookmarkEnd w:id="205"/>
    </w:p>
    <w:p w14:paraId="0D00DFF5">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6" w:name="_Toc25512"/>
      <w:bookmarkStart w:id="207" w:name="_Toc293756856"/>
      <w:bookmarkStart w:id="208" w:name="_Toc24345"/>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206"/>
      <w:bookmarkEnd w:id="207"/>
      <w:bookmarkEnd w:id="208"/>
    </w:p>
    <w:p w14:paraId="4E565C8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FE4EE8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690F0D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6CF3C71D">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9" w:name="_Toc5921"/>
      <w:bookmarkStart w:id="210" w:name="_Toc293756857"/>
      <w:bookmarkStart w:id="211" w:name="_Toc2798"/>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209"/>
      <w:bookmarkEnd w:id="210"/>
      <w:bookmarkEnd w:id="211"/>
    </w:p>
    <w:p w14:paraId="4A8A921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056BE4F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3EE6C9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507D8D1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79877180">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2" w:name="_Toc8954"/>
      <w:bookmarkStart w:id="213" w:name="_Toc293756858"/>
      <w:bookmarkStart w:id="214" w:name="_Toc28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212"/>
      <w:bookmarkEnd w:id="213"/>
      <w:bookmarkEnd w:id="214"/>
    </w:p>
    <w:p w14:paraId="77F22A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27D0622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2BBB4FD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2C619C76">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5" w:name="_Toc293756859"/>
      <w:bookmarkStart w:id="216" w:name="_Toc13137"/>
      <w:bookmarkStart w:id="217" w:name="_Toc29290"/>
      <w:r>
        <w:rPr>
          <w:rFonts w:hint="eastAsia" w:ascii="宋体" w:hAnsi="宋体" w:eastAsia="宋体" w:cs="宋体"/>
          <w:color w:val="auto"/>
          <w:sz w:val="21"/>
          <w:szCs w:val="21"/>
          <w:highlight w:val="none"/>
        </w:rPr>
        <w:t xml:space="preserve">5. </w:t>
      </w:r>
      <w:bookmarkEnd w:id="215"/>
      <w:r>
        <w:rPr>
          <w:rFonts w:hint="eastAsia" w:ascii="宋体" w:hAnsi="宋体" w:eastAsia="宋体" w:cs="宋体"/>
          <w:color w:val="auto"/>
          <w:sz w:val="21"/>
          <w:szCs w:val="21"/>
          <w:highlight w:val="none"/>
        </w:rPr>
        <w:t>比选</w:t>
      </w:r>
      <w:bookmarkEnd w:id="216"/>
      <w:bookmarkEnd w:id="217"/>
    </w:p>
    <w:p w14:paraId="266C18E9">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8" w:name="_Toc6939"/>
      <w:bookmarkStart w:id="219" w:name="_Toc14237"/>
      <w:bookmarkStart w:id="220" w:name="_Toc293756860"/>
      <w:r>
        <w:rPr>
          <w:rFonts w:hint="eastAsia" w:ascii="宋体" w:hAnsi="宋体" w:eastAsia="宋体" w:cs="宋体"/>
          <w:color w:val="auto"/>
          <w:sz w:val="21"/>
          <w:szCs w:val="21"/>
          <w:highlight w:val="none"/>
        </w:rPr>
        <w:t>5.1 比选时间和地点</w:t>
      </w:r>
      <w:bookmarkEnd w:id="218"/>
      <w:bookmarkEnd w:id="219"/>
      <w:bookmarkEnd w:id="220"/>
    </w:p>
    <w:p w14:paraId="7792F26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26A93F59">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1" w:name="_Toc293756861"/>
      <w:bookmarkStart w:id="222" w:name="_Toc716"/>
      <w:bookmarkStart w:id="223" w:name="_Toc22516"/>
      <w:r>
        <w:rPr>
          <w:rFonts w:hint="eastAsia" w:ascii="宋体" w:hAnsi="宋体" w:eastAsia="宋体" w:cs="宋体"/>
          <w:color w:val="auto"/>
          <w:sz w:val="21"/>
          <w:szCs w:val="21"/>
          <w:highlight w:val="none"/>
        </w:rPr>
        <w:t>5.2 比选程序</w:t>
      </w:r>
      <w:bookmarkEnd w:id="221"/>
      <w:bookmarkEnd w:id="222"/>
      <w:bookmarkEnd w:id="223"/>
    </w:p>
    <w:p w14:paraId="05EBD2B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24"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614BC872">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25" w:name="_Toc18348"/>
      <w:bookmarkStart w:id="226" w:name="_Toc24607"/>
      <w:r>
        <w:rPr>
          <w:rFonts w:hint="eastAsia" w:ascii="宋体" w:hAnsi="宋体" w:eastAsia="宋体" w:cs="宋体"/>
          <w:color w:val="auto"/>
          <w:sz w:val="21"/>
          <w:szCs w:val="21"/>
          <w:highlight w:val="none"/>
        </w:rPr>
        <w:t>6. 评</w:t>
      </w:r>
      <w:bookmarkEnd w:id="224"/>
      <w:r>
        <w:rPr>
          <w:rFonts w:hint="eastAsia" w:ascii="宋体" w:hAnsi="宋体" w:eastAsia="宋体" w:cs="宋体"/>
          <w:color w:val="auto"/>
          <w:sz w:val="21"/>
          <w:szCs w:val="21"/>
          <w:highlight w:val="none"/>
        </w:rPr>
        <w:t>审</w:t>
      </w:r>
      <w:bookmarkEnd w:id="225"/>
      <w:bookmarkEnd w:id="226"/>
    </w:p>
    <w:p w14:paraId="63D61924">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7" w:name="_Toc287620720"/>
      <w:bookmarkStart w:id="228" w:name="_Toc430530470"/>
      <w:bookmarkStart w:id="229" w:name="_Toc277082587"/>
      <w:bookmarkStart w:id="230" w:name="_Toc15611"/>
      <w:bookmarkStart w:id="231" w:name="_Toc200513161"/>
      <w:bookmarkStart w:id="232" w:name="_Toc509218745"/>
      <w:bookmarkStart w:id="233" w:name="_Toc287607781"/>
      <w:bookmarkStart w:id="234" w:name="_Toc224103352"/>
      <w:bookmarkStart w:id="235" w:name="_Toc7646"/>
      <w:bookmarkStart w:id="236"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227"/>
      <w:bookmarkEnd w:id="228"/>
      <w:bookmarkEnd w:id="229"/>
      <w:bookmarkEnd w:id="230"/>
      <w:bookmarkEnd w:id="231"/>
      <w:bookmarkEnd w:id="232"/>
      <w:bookmarkEnd w:id="233"/>
      <w:bookmarkEnd w:id="234"/>
      <w:bookmarkEnd w:id="235"/>
    </w:p>
    <w:p w14:paraId="14E6B0D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3E2504C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61203DEB">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37" w:name="_Toc27306"/>
      <w:bookmarkStart w:id="238" w:name="_Toc11164"/>
      <w:bookmarkStart w:id="239" w:name="_Toc430530471"/>
      <w:bookmarkStart w:id="240" w:name="_Toc287620721"/>
      <w:bookmarkStart w:id="241" w:name="_Toc224103353"/>
      <w:bookmarkStart w:id="242" w:name="_Toc287607782"/>
      <w:bookmarkStart w:id="243" w:name="_Toc200513162"/>
      <w:bookmarkStart w:id="244" w:name="_Toc277082588"/>
      <w:bookmarkStart w:id="245" w:name="_Toc509218746"/>
      <w:r>
        <w:rPr>
          <w:rFonts w:hint="eastAsia" w:ascii="宋体" w:hAnsi="宋体" w:eastAsia="宋体" w:cs="宋体"/>
          <w:snapToGrid w:val="0"/>
          <w:color w:val="auto"/>
          <w:kern w:val="0"/>
          <w:sz w:val="21"/>
          <w:szCs w:val="21"/>
          <w:highlight w:val="none"/>
        </w:rPr>
        <w:t>（1）投标人或投标人的主要负责人的近亲属；</w:t>
      </w:r>
      <w:bookmarkEnd w:id="237"/>
      <w:bookmarkEnd w:id="238"/>
    </w:p>
    <w:p w14:paraId="1D90C56F">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46" w:name="_Toc7327"/>
      <w:bookmarkStart w:id="247" w:name="_Toc24641"/>
      <w:r>
        <w:rPr>
          <w:rFonts w:hint="eastAsia" w:ascii="宋体" w:hAnsi="宋体" w:eastAsia="宋体" w:cs="宋体"/>
          <w:snapToGrid w:val="0"/>
          <w:color w:val="auto"/>
          <w:kern w:val="0"/>
          <w:sz w:val="21"/>
          <w:szCs w:val="21"/>
          <w:highlight w:val="none"/>
        </w:rPr>
        <w:t>（2）项目主管部门或者项目行政监督部门的人员；</w:t>
      </w:r>
      <w:bookmarkEnd w:id="246"/>
      <w:bookmarkEnd w:id="247"/>
    </w:p>
    <w:p w14:paraId="2F282B4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48" w:name="_Toc15401"/>
      <w:bookmarkStart w:id="249"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248"/>
      <w:bookmarkEnd w:id="249"/>
    </w:p>
    <w:p w14:paraId="0FA58509">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50" w:name="_Toc2203"/>
      <w:bookmarkStart w:id="251"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250"/>
      <w:bookmarkEnd w:id="251"/>
    </w:p>
    <w:p w14:paraId="22F6EB1E">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52" w:name="_Toc22969"/>
      <w:bookmarkStart w:id="253" w:name="_Toc7240"/>
      <w:r>
        <w:rPr>
          <w:rFonts w:hint="eastAsia" w:ascii="宋体" w:hAnsi="宋体" w:eastAsia="宋体" w:cs="宋体"/>
          <w:snapToGrid w:val="0"/>
          <w:color w:val="auto"/>
          <w:kern w:val="0"/>
          <w:sz w:val="21"/>
          <w:szCs w:val="21"/>
          <w:highlight w:val="none"/>
        </w:rPr>
        <w:t>（5）法律法规规定的其他情形。</w:t>
      </w:r>
      <w:bookmarkEnd w:id="252"/>
      <w:bookmarkEnd w:id="253"/>
    </w:p>
    <w:p w14:paraId="5061B22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3EDA737C">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54" w:name="_Toc349"/>
      <w:bookmarkStart w:id="255" w:name="_Toc32302"/>
      <w:r>
        <w:rPr>
          <w:rFonts w:hint="eastAsia" w:ascii="宋体" w:hAnsi="宋体" w:eastAsia="宋体" w:cs="宋体"/>
          <w:color w:val="auto"/>
          <w:sz w:val="21"/>
          <w:szCs w:val="21"/>
          <w:highlight w:val="none"/>
          <w:lang w:val="en-US" w:eastAsia="zh-CN"/>
        </w:rPr>
        <w:t>6.2  评标原则</w:t>
      </w:r>
      <w:bookmarkEnd w:id="239"/>
      <w:bookmarkEnd w:id="240"/>
      <w:bookmarkEnd w:id="241"/>
      <w:bookmarkEnd w:id="242"/>
      <w:bookmarkEnd w:id="243"/>
      <w:bookmarkEnd w:id="244"/>
      <w:bookmarkEnd w:id="245"/>
      <w:bookmarkEnd w:id="254"/>
      <w:bookmarkEnd w:id="255"/>
    </w:p>
    <w:p w14:paraId="3C9EBB8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63188FC0">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56" w:name="_Toc430530472"/>
      <w:bookmarkStart w:id="257" w:name="_Toc200513163"/>
      <w:bookmarkStart w:id="258" w:name="_Toc287620722"/>
      <w:bookmarkStart w:id="259" w:name="_Toc287607783"/>
      <w:bookmarkStart w:id="260" w:name="_Toc277082589"/>
      <w:bookmarkStart w:id="261" w:name="_Toc224103354"/>
      <w:bookmarkStart w:id="262" w:name="_Toc22477"/>
      <w:bookmarkStart w:id="263" w:name="_Toc3231"/>
      <w:bookmarkStart w:id="264" w:name="_Toc509218747"/>
      <w:r>
        <w:rPr>
          <w:rFonts w:hint="eastAsia" w:ascii="宋体" w:hAnsi="宋体" w:eastAsia="宋体" w:cs="宋体"/>
          <w:color w:val="auto"/>
          <w:sz w:val="21"/>
          <w:szCs w:val="21"/>
          <w:highlight w:val="none"/>
          <w:lang w:val="en-US" w:eastAsia="zh-CN"/>
        </w:rPr>
        <w:t>6.3  评标</w:t>
      </w:r>
      <w:bookmarkEnd w:id="256"/>
      <w:bookmarkEnd w:id="257"/>
      <w:bookmarkEnd w:id="258"/>
      <w:bookmarkEnd w:id="259"/>
      <w:bookmarkEnd w:id="260"/>
      <w:bookmarkEnd w:id="261"/>
      <w:bookmarkEnd w:id="262"/>
      <w:bookmarkEnd w:id="263"/>
      <w:bookmarkEnd w:id="264"/>
    </w:p>
    <w:p w14:paraId="6AC9D0B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0C371959">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65" w:name="_Toc5190"/>
      <w:bookmarkStart w:id="266" w:name="_Toc2729"/>
      <w:r>
        <w:rPr>
          <w:rFonts w:hint="eastAsia" w:ascii="宋体" w:hAnsi="宋体" w:eastAsia="宋体" w:cs="宋体"/>
          <w:color w:val="auto"/>
          <w:sz w:val="21"/>
          <w:szCs w:val="21"/>
          <w:highlight w:val="none"/>
        </w:rPr>
        <w:t>7. 合同授予</w:t>
      </w:r>
      <w:bookmarkEnd w:id="236"/>
      <w:bookmarkEnd w:id="265"/>
      <w:bookmarkEnd w:id="266"/>
    </w:p>
    <w:p w14:paraId="707E108A">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67" w:name="_Toc13886"/>
      <w:bookmarkStart w:id="268" w:name="_Toc13535"/>
      <w:bookmarkStart w:id="269" w:name="_Toc293756867"/>
      <w:r>
        <w:rPr>
          <w:rFonts w:hint="eastAsia" w:ascii="宋体" w:hAnsi="宋体" w:eastAsia="宋体" w:cs="宋体"/>
          <w:color w:val="auto"/>
          <w:sz w:val="21"/>
          <w:szCs w:val="21"/>
          <w:highlight w:val="none"/>
        </w:rPr>
        <w:t>7.1 定选方式</w:t>
      </w:r>
      <w:bookmarkEnd w:id="267"/>
      <w:bookmarkEnd w:id="268"/>
      <w:bookmarkEnd w:id="269"/>
    </w:p>
    <w:p w14:paraId="0F158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3F3F65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702FA11D">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70" w:name="_Toc293756868"/>
      <w:bookmarkStart w:id="271" w:name="_Toc17919"/>
      <w:bookmarkStart w:id="272" w:name="_Toc1025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70"/>
      <w:bookmarkEnd w:id="271"/>
      <w:bookmarkEnd w:id="272"/>
    </w:p>
    <w:p w14:paraId="60C31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73"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w:t>
      </w:r>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eastAsia="宋体" w:cs="宋体"/>
          <w:color w:val="auto"/>
          <w:sz w:val="21"/>
          <w:szCs w:val="21"/>
          <w:highlight w:val="none"/>
        </w:rPr>
        <w:t>。</w:t>
      </w:r>
    </w:p>
    <w:p w14:paraId="496CE3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20CB45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73"/>
    </w:p>
    <w:p w14:paraId="3F73489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2B8B73A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64E3C719">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74" w:name="_Toc2662"/>
      <w:bookmarkStart w:id="275" w:name="_Toc293756870"/>
      <w:bookmarkStart w:id="276" w:name="_Toc5235"/>
      <w:r>
        <w:rPr>
          <w:rFonts w:hint="eastAsia" w:ascii="宋体" w:hAnsi="宋体" w:eastAsia="宋体" w:cs="宋体"/>
          <w:color w:val="auto"/>
          <w:sz w:val="21"/>
          <w:szCs w:val="21"/>
          <w:highlight w:val="none"/>
        </w:rPr>
        <w:t>7.4 签订合同</w:t>
      </w:r>
      <w:bookmarkEnd w:id="274"/>
      <w:bookmarkEnd w:id="275"/>
      <w:bookmarkEnd w:id="276"/>
    </w:p>
    <w:p w14:paraId="53937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1FE439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19F5C4FB">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77" w:name="_Toc293756871"/>
      <w:bookmarkStart w:id="278" w:name="_Toc15182"/>
      <w:bookmarkStart w:id="279" w:name="_Toc21469"/>
      <w:r>
        <w:rPr>
          <w:rFonts w:hint="eastAsia" w:ascii="宋体" w:hAnsi="宋体" w:eastAsia="宋体" w:cs="宋体"/>
          <w:color w:val="auto"/>
          <w:sz w:val="21"/>
          <w:szCs w:val="21"/>
          <w:highlight w:val="none"/>
        </w:rPr>
        <w:t>8. 重新比选和不再比选</w:t>
      </w:r>
      <w:bookmarkEnd w:id="277"/>
      <w:bookmarkEnd w:id="278"/>
      <w:bookmarkEnd w:id="279"/>
    </w:p>
    <w:p w14:paraId="13C77262">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80" w:name="_Toc224103361"/>
      <w:bookmarkStart w:id="281" w:name="_Toc277082596"/>
      <w:bookmarkStart w:id="282" w:name="_Toc430530479"/>
      <w:bookmarkStart w:id="283" w:name="_Toc287620729"/>
      <w:bookmarkStart w:id="284" w:name="_Toc200513170"/>
      <w:bookmarkStart w:id="285" w:name="_Toc287607790"/>
      <w:bookmarkStart w:id="286" w:name="_Toc509218754"/>
      <w:bookmarkStart w:id="287" w:name="_Toc15837"/>
      <w:bookmarkStart w:id="288" w:name="_Toc27002"/>
      <w:bookmarkStart w:id="289" w:name="_Toc284231394"/>
      <w:bookmarkStart w:id="290"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80"/>
      <w:bookmarkEnd w:id="281"/>
      <w:bookmarkEnd w:id="282"/>
      <w:bookmarkEnd w:id="283"/>
      <w:bookmarkEnd w:id="284"/>
      <w:bookmarkEnd w:id="285"/>
      <w:bookmarkEnd w:id="286"/>
      <w:r>
        <w:rPr>
          <w:rFonts w:hint="eastAsia" w:ascii="宋体" w:hAnsi="宋体" w:eastAsia="宋体" w:cs="宋体"/>
          <w:b w:val="0"/>
          <w:bCs/>
          <w:snapToGrid w:val="0"/>
          <w:color w:val="auto"/>
          <w:kern w:val="2"/>
          <w:sz w:val="21"/>
          <w:szCs w:val="21"/>
          <w:highlight w:val="none"/>
          <w:lang w:val="en-US" w:eastAsia="zh-CN" w:bidi="ar-SA"/>
        </w:rPr>
        <w:t>比选</w:t>
      </w:r>
      <w:bookmarkEnd w:id="287"/>
      <w:bookmarkEnd w:id="288"/>
    </w:p>
    <w:p w14:paraId="02C1FF10">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7EE3143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79E0019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019C1234">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3FF7BF5B">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04A785F7">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91" w:name="_Toc28804"/>
      <w:bookmarkStart w:id="292" w:name="_Toc24456"/>
      <w:r>
        <w:rPr>
          <w:rFonts w:hint="eastAsia" w:ascii="宋体" w:hAnsi="宋体" w:eastAsia="宋体" w:cs="宋体"/>
          <w:color w:val="auto"/>
          <w:sz w:val="21"/>
          <w:szCs w:val="21"/>
          <w:highlight w:val="none"/>
        </w:rPr>
        <w:t>8.2 不再</w:t>
      </w:r>
      <w:bookmarkEnd w:id="289"/>
      <w:bookmarkEnd w:id="290"/>
      <w:r>
        <w:rPr>
          <w:rFonts w:hint="eastAsia" w:ascii="宋体" w:hAnsi="宋体" w:eastAsia="宋体" w:cs="宋体"/>
          <w:color w:val="auto"/>
          <w:sz w:val="21"/>
          <w:szCs w:val="21"/>
          <w:highlight w:val="none"/>
        </w:rPr>
        <w:t>比选</w:t>
      </w:r>
      <w:bookmarkEnd w:id="291"/>
      <w:bookmarkEnd w:id="292"/>
    </w:p>
    <w:p w14:paraId="2701CBB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93" w:name="_Toc284231395"/>
      <w:bookmarkStart w:id="294" w:name="_Toc288052291"/>
      <w:bookmarkStart w:id="295" w:name="_Toc284158539"/>
      <w:bookmarkStart w:id="296" w:name="_Toc284159224"/>
      <w:bookmarkStart w:id="297" w:name="_Toc284159360"/>
      <w:bookmarkStart w:id="298" w:name="_Toc288046541"/>
      <w:bookmarkStart w:id="299" w:name="_Toc288046894"/>
      <w:bookmarkStart w:id="300" w:name="_Toc293756874"/>
      <w:bookmarkStart w:id="301" w:name="_Toc288045280"/>
      <w:bookmarkStart w:id="302" w:name="_Toc284158456"/>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93"/>
      <w:bookmarkEnd w:id="294"/>
      <w:bookmarkEnd w:id="295"/>
      <w:bookmarkEnd w:id="296"/>
      <w:bookmarkEnd w:id="297"/>
      <w:bookmarkEnd w:id="298"/>
      <w:bookmarkEnd w:id="299"/>
      <w:bookmarkEnd w:id="300"/>
      <w:bookmarkEnd w:id="301"/>
      <w:bookmarkEnd w:id="302"/>
    </w:p>
    <w:p w14:paraId="50B3E158">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303" w:name="_Toc755"/>
      <w:bookmarkStart w:id="304" w:name="_Toc287607792"/>
      <w:bookmarkStart w:id="305" w:name="_Toc430530481"/>
      <w:bookmarkStart w:id="306" w:name="_Toc36043737"/>
      <w:bookmarkStart w:id="307" w:name="_Toc31090"/>
      <w:bookmarkStart w:id="308" w:name="_Toc200513172"/>
      <w:bookmarkStart w:id="309" w:name="_Toc277082598"/>
      <w:bookmarkStart w:id="310" w:name="_Toc287620731"/>
      <w:bookmarkStart w:id="311" w:name="_Toc509218756"/>
      <w:bookmarkStart w:id="312" w:name="_Toc224103363"/>
      <w:r>
        <w:rPr>
          <w:rFonts w:hint="eastAsia" w:ascii="宋体" w:hAnsi="宋体" w:eastAsia="宋体" w:cs="宋体"/>
          <w:color w:val="auto"/>
          <w:sz w:val="21"/>
          <w:szCs w:val="21"/>
          <w:highlight w:val="none"/>
        </w:rPr>
        <w:t>9.  纪律和监督</w:t>
      </w:r>
      <w:bookmarkEnd w:id="303"/>
      <w:bookmarkEnd w:id="304"/>
      <w:bookmarkEnd w:id="305"/>
      <w:bookmarkEnd w:id="306"/>
      <w:bookmarkEnd w:id="307"/>
      <w:bookmarkEnd w:id="308"/>
      <w:bookmarkEnd w:id="309"/>
      <w:bookmarkEnd w:id="310"/>
      <w:bookmarkEnd w:id="311"/>
      <w:bookmarkEnd w:id="312"/>
    </w:p>
    <w:p w14:paraId="53C37C1E">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13" w:name="_Toc200513173"/>
      <w:bookmarkStart w:id="314" w:name="_Toc12829"/>
      <w:bookmarkStart w:id="315" w:name="_Toc224103364"/>
      <w:bookmarkStart w:id="316" w:name="_Toc25463"/>
      <w:bookmarkStart w:id="317" w:name="_Toc287607793"/>
      <w:bookmarkStart w:id="318" w:name="_Toc287620732"/>
      <w:bookmarkStart w:id="319" w:name="_Toc430530482"/>
      <w:bookmarkStart w:id="320" w:name="_Toc509218757"/>
      <w:bookmarkStart w:id="321" w:name="_Toc277082599"/>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313"/>
      <w:bookmarkEnd w:id="314"/>
      <w:bookmarkEnd w:id="315"/>
      <w:bookmarkEnd w:id="316"/>
      <w:bookmarkEnd w:id="317"/>
      <w:bookmarkEnd w:id="318"/>
      <w:bookmarkEnd w:id="319"/>
      <w:bookmarkEnd w:id="320"/>
      <w:bookmarkEnd w:id="321"/>
    </w:p>
    <w:p w14:paraId="3C16907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12E4CF3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3929C0F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404B8A3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53836F4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5318965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00EB7FE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47C6F15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77218AB2">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22" w:name="_Toc509218758"/>
      <w:bookmarkStart w:id="323" w:name="_Toc287620733"/>
      <w:bookmarkStart w:id="324" w:name="_Toc430530483"/>
      <w:bookmarkStart w:id="325" w:name="_Toc200513174"/>
      <w:bookmarkStart w:id="326" w:name="_Toc224103365"/>
      <w:bookmarkStart w:id="327" w:name="_Toc83"/>
      <w:bookmarkStart w:id="328" w:name="_Toc277082600"/>
      <w:bookmarkStart w:id="329" w:name="_Toc14890"/>
      <w:bookmarkStart w:id="330" w:name="_Toc287607794"/>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322"/>
      <w:bookmarkEnd w:id="323"/>
      <w:bookmarkEnd w:id="324"/>
      <w:bookmarkEnd w:id="325"/>
      <w:bookmarkEnd w:id="326"/>
      <w:bookmarkEnd w:id="327"/>
      <w:bookmarkEnd w:id="328"/>
      <w:bookmarkEnd w:id="329"/>
      <w:bookmarkEnd w:id="330"/>
    </w:p>
    <w:p w14:paraId="483366B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3051934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1F52CCD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6BB8F3A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78219F8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3344AA2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2EE4DF2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08D070F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6FCA589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3003390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18EA735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4596450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34F48C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361238E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7EDD2C3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53963EF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77DC786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1A44313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69B36C3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40CF5F2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5DEFBADF">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31" w:name="_Toc287620734"/>
      <w:bookmarkStart w:id="332" w:name="_Toc277082601"/>
      <w:bookmarkStart w:id="333" w:name="_Toc224103366"/>
      <w:bookmarkStart w:id="334" w:name="_Toc20024"/>
      <w:bookmarkStart w:id="335" w:name="_Toc19139"/>
      <w:bookmarkStart w:id="336" w:name="_Toc509218759"/>
      <w:bookmarkStart w:id="337" w:name="_Toc287607795"/>
      <w:bookmarkStart w:id="338" w:name="_Toc200513175"/>
      <w:bookmarkStart w:id="339" w:name="_Toc43053048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331"/>
      <w:bookmarkEnd w:id="332"/>
      <w:bookmarkEnd w:id="333"/>
      <w:bookmarkEnd w:id="334"/>
      <w:bookmarkEnd w:id="335"/>
      <w:bookmarkEnd w:id="336"/>
      <w:bookmarkEnd w:id="337"/>
      <w:bookmarkEnd w:id="338"/>
      <w:bookmarkEnd w:id="339"/>
    </w:p>
    <w:p w14:paraId="64E0C94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B9600D">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40" w:name="_Toc1608"/>
      <w:bookmarkStart w:id="341" w:name="_Toc13227"/>
      <w:bookmarkStart w:id="342" w:name="_Toc287607796"/>
      <w:bookmarkStart w:id="343" w:name="_Toc277082602"/>
      <w:bookmarkStart w:id="344" w:name="_Toc200513176"/>
      <w:bookmarkStart w:id="345" w:name="_Toc509218760"/>
      <w:bookmarkStart w:id="346" w:name="_Toc287620735"/>
      <w:bookmarkStart w:id="347" w:name="_Toc430530485"/>
      <w:bookmarkStart w:id="348" w:name="_Toc224103367"/>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340"/>
      <w:bookmarkEnd w:id="341"/>
      <w:bookmarkEnd w:id="342"/>
      <w:bookmarkEnd w:id="343"/>
      <w:bookmarkEnd w:id="344"/>
      <w:bookmarkEnd w:id="345"/>
      <w:bookmarkEnd w:id="346"/>
      <w:bookmarkEnd w:id="347"/>
      <w:bookmarkEnd w:id="348"/>
    </w:p>
    <w:p w14:paraId="69B7A61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2060A5CC">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49" w:name="_Toc200513177"/>
      <w:bookmarkStart w:id="350" w:name="_Toc10750"/>
      <w:bookmarkStart w:id="351" w:name="_Toc287607797"/>
      <w:bookmarkStart w:id="352" w:name="_Toc2907"/>
      <w:bookmarkStart w:id="353" w:name="_Toc224103368"/>
      <w:bookmarkStart w:id="354" w:name="_Toc287620736"/>
      <w:bookmarkStart w:id="355" w:name="_Toc277082603"/>
      <w:bookmarkStart w:id="356" w:name="_Toc509218761"/>
      <w:bookmarkStart w:id="357" w:name="_Toc430530486"/>
      <w:r>
        <w:rPr>
          <w:rFonts w:hint="eastAsia" w:ascii="宋体" w:hAnsi="宋体" w:eastAsia="宋体" w:cs="宋体"/>
          <w:b w:val="0"/>
          <w:bCs/>
          <w:snapToGrid w:val="0"/>
          <w:color w:val="auto"/>
          <w:kern w:val="2"/>
          <w:sz w:val="21"/>
          <w:szCs w:val="21"/>
          <w:highlight w:val="none"/>
          <w:lang w:val="en-US" w:eastAsia="zh-CN" w:bidi="ar-SA"/>
        </w:rPr>
        <w:t>9.5  投诉</w:t>
      </w:r>
      <w:bookmarkEnd w:id="349"/>
      <w:bookmarkEnd w:id="350"/>
      <w:bookmarkEnd w:id="351"/>
      <w:bookmarkEnd w:id="352"/>
      <w:bookmarkEnd w:id="353"/>
      <w:bookmarkEnd w:id="354"/>
      <w:bookmarkEnd w:id="355"/>
      <w:bookmarkEnd w:id="356"/>
      <w:bookmarkEnd w:id="357"/>
    </w:p>
    <w:p w14:paraId="5FE46F8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668CF49C">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358" w:name="_Toc287607798"/>
      <w:bookmarkStart w:id="359" w:name="_Toc36043738"/>
      <w:bookmarkStart w:id="360" w:name="_Toc200513178"/>
      <w:bookmarkStart w:id="361" w:name="_Toc509218762"/>
      <w:bookmarkStart w:id="362" w:name="_Toc430530487"/>
      <w:bookmarkStart w:id="363" w:name="_Toc287620737"/>
      <w:bookmarkStart w:id="364" w:name="_Toc277082604"/>
      <w:bookmarkStart w:id="365" w:name="_Toc224103369"/>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358"/>
      <w:bookmarkEnd w:id="359"/>
      <w:bookmarkEnd w:id="360"/>
      <w:bookmarkEnd w:id="361"/>
      <w:bookmarkEnd w:id="362"/>
      <w:bookmarkEnd w:id="363"/>
      <w:bookmarkEnd w:id="364"/>
      <w:bookmarkEnd w:id="365"/>
    </w:p>
    <w:p w14:paraId="5413A25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3B335473">
      <w:pPr>
        <w:spacing w:line="360" w:lineRule="auto"/>
        <w:ind w:firstLine="240" w:firstLineChars="100"/>
        <w:rPr>
          <w:rFonts w:ascii="宋体" w:hAnsi="宋体" w:eastAsia="宋体" w:cs="宋体"/>
          <w:color w:val="auto"/>
          <w:sz w:val="24"/>
          <w:highlight w:val="none"/>
        </w:rPr>
        <w:sectPr>
          <w:footerReference r:id="rId7" w:type="first"/>
          <w:footerReference r:id="rId6" w:type="default"/>
          <w:pgSz w:w="11906" w:h="16838"/>
          <w:pgMar w:top="1134" w:right="1418" w:bottom="1134" w:left="1418" w:header="851" w:footer="992" w:gutter="0"/>
          <w:cols w:space="720" w:num="1"/>
          <w:docGrid w:type="lines" w:linePitch="312" w:charSpace="0"/>
        </w:sectPr>
      </w:pPr>
    </w:p>
    <w:p w14:paraId="07F5CF4F">
      <w:pPr>
        <w:keepNext/>
        <w:keepLines/>
        <w:widowControl w:val="0"/>
        <w:spacing w:before="340" w:after="330" w:line="360" w:lineRule="auto"/>
        <w:ind w:firstLine="883" w:firstLineChars="200"/>
        <w:jc w:val="center"/>
        <w:outlineLvl w:val="0"/>
        <w:rPr>
          <w:rFonts w:ascii="宋体" w:hAnsi="宋体" w:eastAsia="宋体" w:cs="Times New Roman"/>
          <w:b/>
          <w:bCs/>
          <w:color w:val="auto"/>
          <w:kern w:val="44"/>
          <w:sz w:val="44"/>
          <w:szCs w:val="44"/>
          <w:highlight w:val="none"/>
          <w:lang w:val="en-US" w:eastAsia="zh-CN" w:bidi="ar-SA"/>
        </w:rPr>
      </w:pPr>
      <w:bookmarkStart w:id="366" w:name="_Toc509218774"/>
      <w:bookmarkStart w:id="367" w:name="_Toc22226"/>
      <w:bookmarkStart w:id="368" w:name="_Toc27983298"/>
      <w:bookmarkStart w:id="369" w:name="_Toc430530509"/>
      <w:bookmarkStart w:id="370" w:name="_Toc8427"/>
      <w:bookmarkStart w:id="371" w:name="_Toc509218785"/>
      <w:r>
        <w:rPr>
          <w:rFonts w:ascii="宋体" w:hAnsi="宋体" w:eastAsia="宋体" w:cs="Times New Roman"/>
          <w:b/>
          <w:bCs/>
          <w:color w:val="auto"/>
          <w:kern w:val="44"/>
          <w:sz w:val="44"/>
          <w:szCs w:val="44"/>
          <w:highlight w:val="none"/>
          <w:lang w:val="en-US" w:eastAsia="zh-CN" w:bidi="ar-SA"/>
        </w:rPr>
        <w:t xml:space="preserve">第三章 </w:t>
      </w:r>
      <w:r>
        <w:rPr>
          <w:rFonts w:hint="eastAsia" w:ascii="宋体" w:hAnsi="宋体" w:eastAsia="宋体" w:cs="Times New Roman"/>
          <w:b/>
          <w:bCs/>
          <w:color w:val="auto"/>
          <w:kern w:val="44"/>
          <w:sz w:val="44"/>
          <w:szCs w:val="44"/>
          <w:highlight w:val="none"/>
          <w:lang w:val="en-US" w:eastAsia="zh-CN" w:bidi="ar-SA"/>
        </w:rPr>
        <w:t xml:space="preserve"> </w:t>
      </w:r>
      <w:r>
        <w:rPr>
          <w:rFonts w:ascii="宋体" w:hAnsi="宋体" w:eastAsia="宋体" w:cs="Times New Roman"/>
          <w:b/>
          <w:bCs/>
          <w:color w:val="auto"/>
          <w:kern w:val="44"/>
          <w:sz w:val="44"/>
          <w:szCs w:val="44"/>
          <w:highlight w:val="none"/>
          <w:lang w:val="en-US" w:eastAsia="zh-CN" w:bidi="ar-SA"/>
        </w:rPr>
        <w:t>评标办法（综合评估法）</w:t>
      </w:r>
      <w:bookmarkEnd w:id="366"/>
      <w:bookmarkEnd w:id="367"/>
      <w:bookmarkEnd w:id="368"/>
      <w:bookmarkStart w:id="372" w:name="_Toc277082617"/>
      <w:bookmarkStart w:id="373" w:name="_Toc224103383"/>
      <w:bookmarkStart w:id="374" w:name="_Toc287620750"/>
      <w:bookmarkStart w:id="375" w:name="_Toc287607811"/>
      <w:bookmarkStart w:id="376" w:name="_Toc430530499"/>
    </w:p>
    <w:p w14:paraId="5E6742DC">
      <w:pPr>
        <w:keepNext/>
        <w:keepLines/>
        <w:widowControl w:val="0"/>
        <w:spacing w:before="100" w:after="100" w:line="360" w:lineRule="auto"/>
        <w:jc w:val="both"/>
        <w:outlineLvl w:val="1"/>
        <w:rPr>
          <w:rFonts w:hint="eastAsia" w:ascii="宋体" w:hAnsi="宋体" w:eastAsia="宋体" w:cs="Times New Roman"/>
          <w:b/>
          <w:bCs/>
          <w:color w:val="auto"/>
          <w:kern w:val="2"/>
          <w:sz w:val="32"/>
          <w:szCs w:val="32"/>
          <w:highlight w:val="none"/>
          <w:lang w:val="en-US" w:eastAsia="zh-CN" w:bidi="ar-SA"/>
        </w:rPr>
      </w:pPr>
      <w:bookmarkStart w:id="377" w:name="_Toc27983299"/>
      <w:bookmarkStart w:id="378" w:name="_Toc30753"/>
      <w:bookmarkStart w:id="379" w:name="_Toc509218775"/>
      <w:r>
        <w:rPr>
          <w:rFonts w:hint="eastAsia" w:ascii="宋体" w:hAnsi="宋体" w:eastAsia="宋体" w:cs="Times New Roman"/>
          <w:b/>
          <w:bCs/>
          <w:color w:val="auto"/>
          <w:kern w:val="2"/>
          <w:sz w:val="32"/>
          <w:szCs w:val="32"/>
          <w:highlight w:val="none"/>
          <w:lang w:val="en-US" w:eastAsia="zh-CN" w:bidi="ar-SA"/>
        </w:rPr>
        <w:t>评标办法前附表</w:t>
      </w:r>
      <w:bookmarkEnd w:id="377"/>
      <w:bookmarkEnd w:id="378"/>
      <w:bookmarkEnd w:id="379"/>
    </w:p>
    <w:p w14:paraId="22D85BC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评标办法前附表中的评审内容必须和</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人须知前附表中的对应内容一致，若</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人须知前附表中未作要求的内容，不得列入评标办法前附表作为评定依据。</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666"/>
        <w:gridCol w:w="709"/>
        <w:gridCol w:w="837"/>
        <w:gridCol w:w="1012"/>
        <w:gridCol w:w="5493"/>
      </w:tblGrid>
      <w:tr w14:paraId="4ACFE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noWrap w:val="0"/>
            <w:vAlign w:val="center"/>
          </w:tcPr>
          <w:p w14:paraId="472EFF01">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条款号</w:t>
            </w:r>
          </w:p>
        </w:tc>
        <w:tc>
          <w:tcPr>
            <w:tcW w:w="2558" w:type="dxa"/>
            <w:gridSpan w:val="3"/>
            <w:noWrap w:val="0"/>
            <w:vAlign w:val="center"/>
          </w:tcPr>
          <w:p w14:paraId="44D7B8DE">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评审因素</w:t>
            </w:r>
          </w:p>
        </w:tc>
        <w:tc>
          <w:tcPr>
            <w:tcW w:w="5493" w:type="dxa"/>
            <w:noWrap w:val="0"/>
            <w:vAlign w:val="center"/>
          </w:tcPr>
          <w:p w14:paraId="2048E04D">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评审标准</w:t>
            </w:r>
          </w:p>
        </w:tc>
      </w:tr>
      <w:tr w14:paraId="519528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1B6B9B83">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1</w:t>
            </w:r>
          </w:p>
        </w:tc>
        <w:tc>
          <w:tcPr>
            <w:tcW w:w="2558" w:type="dxa"/>
            <w:gridSpan w:val="3"/>
            <w:noWrap w:val="0"/>
            <w:vAlign w:val="center"/>
          </w:tcPr>
          <w:p w14:paraId="290DAC4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评标办法</w:t>
            </w:r>
          </w:p>
        </w:tc>
        <w:tc>
          <w:tcPr>
            <w:tcW w:w="5493" w:type="dxa"/>
            <w:noWrap w:val="0"/>
            <w:vAlign w:val="center"/>
          </w:tcPr>
          <w:p w14:paraId="17FB43EF">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定的评分标准进行打分，按得分由高到低顺序推荐中标候选人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综合评分相等时</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以</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低的优先；</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相等的</w:t>
            </w:r>
            <w:r>
              <w:rPr>
                <w:rFonts w:hint="eastAsia" w:ascii="宋体" w:hAnsi="宋体" w:eastAsia="宋体" w:cs="Times New Roman"/>
                <w:color w:val="auto"/>
                <w:kern w:val="0"/>
                <w:szCs w:val="21"/>
                <w:highlight w:val="none"/>
              </w:rPr>
              <w:t>，由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按照</w:t>
            </w:r>
            <w:r>
              <w:rPr>
                <w:rFonts w:hint="eastAsia" w:ascii="宋体" w:hAnsi="宋体" w:eastAsia="宋体" w:cs="Times New Roman"/>
                <w:color w:val="auto"/>
                <w:kern w:val="0"/>
                <w:szCs w:val="21"/>
                <w:highlight w:val="none"/>
                <w:u w:val="single"/>
                <w:lang w:val="en-US" w:eastAsia="zh-CN"/>
              </w:rPr>
              <w:t>技术方案得分高的优先</w:t>
            </w:r>
            <w:r>
              <w:rPr>
                <w:rFonts w:hint="eastAsia" w:ascii="宋体" w:hAnsi="宋体" w:eastAsia="宋体" w:cs="Times New Roman"/>
                <w:color w:val="auto"/>
                <w:kern w:val="0"/>
                <w:szCs w:val="21"/>
                <w:highlight w:val="none"/>
              </w:rPr>
              <w:t>原则排序。</w:t>
            </w:r>
          </w:p>
        </w:tc>
      </w:tr>
      <w:tr w14:paraId="164954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4F6D9BE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2.1.1</w:t>
            </w:r>
          </w:p>
        </w:tc>
        <w:tc>
          <w:tcPr>
            <w:tcW w:w="666" w:type="dxa"/>
            <w:vMerge w:val="restart"/>
            <w:noWrap w:val="0"/>
            <w:vAlign w:val="center"/>
          </w:tcPr>
          <w:p w14:paraId="25B64B8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形式评审标准</w:t>
            </w:r>
          </w:p>
        </w:tc>
        <w:tc>
          <w:tcPr>
            <w:tcW w:w="2558" w:type="dxa"/>
            <w:gridSpan w:val="3"/>
            <w:noWrap w:val="0"/>
            <w:vAlign w:val="center"/>
          </w:tcPr>
          <w:p w14:paraId="71DC3254">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人名称</w:t>
            </w:r>
          </w:p>
        </w:tc>
        <w:tc>
          <w:tcPr>
            <w:tcW w:w="5493" w:type="dxa"/>
            <w:noWrap w:val="0"/>
            <w:vAlign w:val="center"/>
          </w:tcPr>
          <w:p w14:paraId="5985B129">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与营业执照一致。</w:t>
            </w:r>
          </w:p>
        </w:tc>
      </w:tr>
      <w:tr w14:paraId="032C5A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3A2C471">
            <w:pPr>
              <w:spacing w:line="400" w:lineRule="exact"/>
              <w:rPr>
                <w:rFonts w:ascii="宋体" w:hAnsi="宋体" w:eastAsia="宋体" w:cs="Times New Roman"/>
                <w:color w:val="auto"/>
                <w:highlight w:val="none"/>
              </w:rPr>
            </w:pPr>
          </w:p>
        </w:tc>
        <w:tc>
          <w:tcPr>
            <w:tcW w:w="666" w:type="dxa"/>
            <w:vMerge w:val="continue"/>
            <w:noWrap w:val="0"/>
            <w:vAlign w:val="top"/>
          </w:tcPr>
          <w:p w14:paraId="01B8AE14">
            <w:pPr>
              <w:spacing w:line="400" w:lineRule="exact"/>
              <w:rPr>
                <w:rFonts w:ascii="宋体" w:hAnsi="宋体" w:eastAsia="宋体" w:cs="Times New Roman"/>
                <w:color w:val="auto"/>
                <w:highlight w:val="none"/>
              </w:rPr>
            </w:pPr>
          </w:p>
        </w:tc>
        <w:tc>
          <w:tcPr>
            <w:tcW w:w="2558" w:type="dxa"/>
            <w:gridSpan w:val="3"/>
            <w:noWrap w:val="0"/>
            <w:vAlign w:val="center"/>
          </w:tcPr>
          <w:p w14:paraId="5F5C7869">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竞标函</w:t>
            </w:r>
            <w:r>
              <w:rPr>
                <w:rFonts w:ascii="宋体" w:hAnsi="宋体" w:eastAsia="宋体" w:cs="Times New Roman"/>
                <w:color w:val="auto"/>
                <w:kern w:val="0"/>
                <w:highlight w:val="none"/>
              </w:rPr>
              <w:t>签字盖章</w:t>
            </w:r>
          </w:p>
        </w:tc>
        <w:tc>
          <w:tcPr>
            <w:tcW w:w="5493" w:type="dxa"/>
            <w:noWrap w:val="0"/>
            <w:vAlign w:val="center"/>
          </w:tcPr>
          <w:p w14:paraId="60AF7A9E">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有法定代表人或其委托代理人签字（或盖章）、加盖单位法人章。</w:t>
            </w:r>
          </w:p>
        </w:tc>
      </w:tr>
      <w:tr w14:paraId="420B5A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75BB3252">
            <w:pPr>
              <w:spacing w:line="400" w:lineRule="exact"/>
              <w:rPr>
                <w:rFonts w:ascii="宋体" w:hAnsi="宋体" w:eastAsia="宋体" w:cs="Times New Roman"/>
                <w:color w:val="auto"/>
                <w:highlight w:val="none"/>
              </w:rPr>
            </w:pPr>
          </w:p>
        </w:tc>
        <w:tc>
          <w:tcPr>
            <w:tcW w:w="666" w:type="dxa"/>
            <w:vMerge w:val="continue"/>
            <w:noWrap w:val="0"/>
            <w:vAlign w:val="top"/>
          </w:tcPr>
          <w:p w14:paraId="102F2A6C">
            <w:pPr>
              <w:spacing w:line="400" w:lineRule="exact"/>
              <w:rPr>
                <w:rFonts w:ascii="宋体" w:hAnsi="宋体" w:eastAsia="宋体" w:cs="Times New Roman"/>
                <w:color w:val="auto"/>
                <w:highlight w:val="none"/>
              </w:rPr>
            </w:pPr>
          </w:p>
        </w:tc>
        <w:tc>
          <w:tcPr>
            <w:tcW w:w="2558" w:type="dxa"/>
            <w:gridSpan w:val="3"/>
            <w:noWrap w:val="0"/>
            <w:vAlign w:val="center"/>
          </w:tcPr>
          <w:p w14:paraId="735612F6">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w:t>
            </w:r>
          </w:p>
        </w:tc>
        <w:tc>
          <w:tcPr>
            <w:tcW w:w="5493" w:type="dxa"/>
            <w:noWrap w:val="0"/>
            <w:vAlign w:val="center"/>
          </w:tcPr>
          <w:p w14:paraId="04B7DF6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w:t>
            </w:r>
            <w:r>
              <w:rPr>
                <w:rFonts w:hint="eastAsia" w:ascii="宋体" w:hAnsi="宋体" w:cs="Times New Roman"/>
                <w:color w:val="auto"/>
                <w:kern w:val="0"/>
                <w:highlight w:val="none"/>
                <w:lang w:val="en-US" w:eastAsia="zh-CN"/>
              </w:rPr>
              <w:t>六</w:t>
            </w:r>
            <w:r>
              <w:rPr>
                <w:rFonts w:ascii="宋体" w:hAnsi="宋体" w:eastAsia="宋体" w:cs="Times New Roman"/>
                <w:color w:val="auto"/>
                <w:kern w:val="0"/>
                <w:highlight w:val="none"/>
              </w:rPr>
              <w:t>章“</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格式”的要求。</w:t>
            </w:r>
          </w:p>
        </w:tc>
      </w:tr>
      <w:tr w14:paraId="19D6B5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C627B15">
            <w:pPr>
              <w:spacing w:line="400" w:lineRule="exact"/>
              <w:rPr>
                <w:rFonts w:ascii="宋体" w:hAnsi="宋体" w:eastAsia="宋体" w:cs="Times New Roman"/>
                <w:color w:val="auto"/>
                <w:highlight w:val="none"/>
              </w:rPr>
            </w:pPr>
          </w:p>
        </w:tc>
        <w:tc>
          <w:tcPr>
            <w:tcW w:w="666" w:type="dxa"/>
            <w:vMerge w:val="continue"/>
            <w:noWrap w:val="0"/>
            <w:vAlign w:val="top"/>
          </w:tcPr>
          <w:p w14:paraId="793AA8C0">
            <w:pPr>
              <w:spacing w:line="400" w:lineRule="exact"/>
              <w:rPr>
                <w:rFonts w:ascii="宋体" w:hAnsi="宋体" w:eastAsia="宋体" w:cs="Times New Roman"/>
                <w:color w:val="auto"/>
                <w:highlight w:val="none"/>
              </w:rPr>
            </w:pPr>
          </w:p>
        </w:tc>
        <w:tc>
          <w:tcPr>
            <w:tcW w:w="2558" w:type="dxa"/>
            <w:gridSpan w:val="3"/>
            <w:noWrap w:val="0"/>
            <w:vAlign w:val="center"/>
          </w:tcPr>
          <w:p w14:paraId="4566C152">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报价唯一</w:t>
            </w:r>
          </w:p>
        </w:tc>
        <w:tc>
          <w:tcPr>
            <w:tcW w:w="5493" w:type="dxa"/>
            <w:noWrap w:val="0"/>
            <w:vAlign w:val="center"/>
          </w:tcPr>
          <w:p w14:paraId="475C7E49">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只能有一个有效报价，在招标文件没有规定的情况下，不得提交选择性报价。</w:t>
            </w:r>
          </w:p>
        </w:tc>
      </w:tr>
      <w:tr w14:paraId="4CED4F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CEFF98A">
            <w:pPr>
              <w:spacing w:line="400" w:lineRule="exact"/>
              <w:rPr>
                <w:rFonts w:ascii="宋体" w:hAnsi="宋体" w:eastAsia="宋体" w:cs="Times New Roman"/>
                <w:color w:val="auto"/>
                <w:highlight w:val="none"/>
              </w:rPr>
            </w:pPr>
          </w:p>
        </w:tc>
        <w:tc>
          <w:tcPr>
            <w:tcW w:w="666" w:type="dxa"/>
            <w:vMerge w:val="continue"/>
            <w:noWrap w:val="0"/>
            <w:vAlign w:val="top"/>
          </w:tcPr>
          <w:p w14:paraId="7895B29F">
            <w:pPr>
              <w:spacing w:line="400" w:lineRule="exact"/>
              <w:rPr>
                <w:rFonts w:ascii="宋体" w:hAnsi="宋体" w:eastAsia="宋体" w:cs="Times New Roman"/>
                <w:color w:val="auto"/>
                <w:highlight w:val="none"/>
              </w:rPr>
            </w:pPr>
          </w:p>
        </w:tc>
        <w:tc>
          <w:tcPr>
            <w:tcW w:w="2558" w:type="dxa"/>
            <w:gridSpan w:val="3"/>
            <w:noWrap w:val="0"/>
            <w:vAlign w:val="center"/>
          </w:tcPr>
          <w:p w14:paraId="2DF7B332">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的签署</w:t>
            </w:r>
          </w:p>
        </w:tc>
        <w:tc>
          <w:tcPr>
            <w:tcW w:w="5493" w:type="dxa"/>
            <w:noWrap w:val="0"/>
            <w:vAlign w:val="center"/>
          </w:tcPr>
          <w:p w14:paraId="18F21B8E">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上法定代表人或其委托代理人的签字（或盖章）齐全。</w:t>
            </w:r>
          </w:p>
        </w:tc>
      </w:tr>
      <w:tr w14:paraId="4E1A22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4B135703">
            <w:pPr>
              <w:spacing w:line="400" w:lineRule="exact"/>
              <w:rPr>
                <w:rFonts w:ascii="宋体" w:hAnsi="宋体" w:eastAsia="宋体" w:cs="Times New Roman"/>
                <w:color w:val="auto"/>
                <w:highlight w:val="none"/>
              </w:rPr>
            </w:pPr>
          </w:p>
        </w:tc>
        <w:tc>
          <w:tcPr>
            <w:tcW w:w="666" w:type="dxa"/>
            <w:vMerge w:val="continue"/>
            <w:noWrap w:val="0"/>
            <w:vAlign w:val="top"/>
          </w:tcPr>
          <w:p w14:paraId="26CA842E">
            <w:pPr>
              <w:spacing w:line="400" w:lineRule="exact"/>
              <w:rPr>
                <w:rFonts w:ascii="宋体" w:hAnsi="宋体" w:eastAsia="宋体" w:cs="Times New Roman"/>
                <w:color w:val="auto"/>
                <w:highlight w:val="none"/>
              </w:rPr>
            </w:pPr>
          </w:p>
        </w:tc>
        <w:tc>
          <w:tcPr>
            <w:tcW w:w="2558" w:type="dxa"/>
            <w:gridSpan w:val="3"/>
            <w:noWrap w:val="0"/>
            <w:vAlign w:val="center"/>
          </w:tcPr>
          <w:p w14:paraId="757F5323">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委托代理人</w:t>
            </w:r>
          </w:p>
        </w:tc>
        <w:tc>
          <w:tcPr>
            <w:tcW w:w="5493" w:type="dxa"/>
            <w:noWrap w:val="0"/>
            <w:vAlign w:val="center"/>
          </w:tcPr>
          <w:p w14:paraId="5C98AABC">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人法定代表人的委托代理人有法定代表人签署的授权委托书</w:t>
            </w:r>
            <w:r>
              <w:rPr>
                <w:rFonts w:hint="eastAsia" w:ascii="宋体" w:hAnsi="宋体" w:eastAsia="宋体" w:cs="Times New Roman"/>
                <w:color w:val="auto"/>
                <w:kern w:val="0"/>
                <w:highlight w:val="none"/>
              </w:rPr>
              <w:t>和养老保险</w:t>
            </w:r>
            <w:r>
              <w:rPr>
                <w:rFonts w:ascii="宋体" w:hAnsi="宋体" w:eastAsia="宋体" w:cs="Times New Roman"/>
                <w:color w:val="auto"/>
                <w:kern w:val="0"/>
                <w:highlight w:val="none"/>
              </w:rPr>
              <w:t>。</w:t>
            </w:r>
          </w:p>
        </w:tc>
      </w:tr>
      <w:tr w14:paraId="1582F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2244B16B">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2.1.2</w:t>
            </w:r>
          </w:p>
        </w:tc>
        <w:tc>
          <w:tcPr>
            <w:tcW w:w="666" w:type="dxa"/>
            <w:vMerge w:val="restart"/>
            <w:noWrap w:val="0"/>
            <w:vAlign w:val="center"/>
          </w:tcPr>
          <w:p w14:paraId="3C5303B5">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资格评审标准</w:t>
            </w:r>
          </w:p>
        </w:tc>
        <w:tc>
          <w:tcPr>
            <w:tcW w:w="2558" w:type="dxa"/>
            <w:gridSpan w:val="3"/>
            <w:tcBorders>
              <w:bottom w:val="single" w:color="auto" w:sz="4" w:space="0"/>
            </w:tcBorders>
            <w:noWrap w:val="0"/>
            <w:vAlign w:val="center"/>
          </w:tcPr>
          <w:p w14:paraId="3C2503DA">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营业执照</w:t>
            </w:r>
          </w:p>
        </w:tc>
        <w:tc>
          <w:tcPr>
            <w:tcW w:w="5493" w:type="dxa"/>
            <w:noWrap w:val="0"/>
            <w:vAlign w:val="center"/>
          </w:tcPr>
          <w:p w14:paraId="04DB776D">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4E9F4D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32468E9">
            <w:pPr>
              <w:spacing w:line="400" w:lineRule="exact"/>
              <w:rPr>
                <w:rFonts w:ascii="宋体" w:hAnsi="宋体" w:eastAsia="宋体" w:cs="Times New Roman"/>
                <w:color w:val="auto"/>
                <w:highlight w:val="none"/>
              </w:rPr>
            </w:pPr>
          </w:p>
        </w:tc>
        <w:tc>
          <w:tcPr>
            <w:tcW w:w="666" w:type="dxa"/>
            <w:vMerge w:val="continue"/>
            <w:noWrap w:val="0"/>
            <w:vAlign w:val="top"/>
          </w:tcPr>
          <w:p w14:paraId="0DD21883">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572CAAF2">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截止日</w:t>
            </w: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资格情况</w:t>
            </w:r>
          </w:p>
        </w:tc>
        <w:tc>
          <w:tcPr>
            <w:tcW w:w="5493" w:type="dxa"/>
            <w:noWrap w:val="0"/>
            <w:vAlign w:val="center"/>
          </w:tcPr>
          <w:p w14:paraId="114E59B8">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75DAED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760342B">
            <w:pPr>
              <w:spacing w:line="400" w:lineRule="exact"/>
              <w:rPr>
                <w:rFonts w:ascii="宋体" w:hAnsi="宋体" w:eastAsia="宋体" w:cs="Times New Roman"/>
                <w:color w:val="auto"/>
                <w:highlight w:val="none"/>
              </w:rPr>
            </w:pPr>
          </w:p>
        </w:tc>
        <w:tc>
          <w:tcPr>
            <w:tcW w:w="666" w:type="dxa"/>
            <w:vMerge w:val="continue"/>
            <w:noWrap w:val="0"/>
            <w:vAlign w:val="top"/>
          </w:tcPr>
          <w:p w14:paraId="7DAEF54F">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3A30B9C7">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其他要求</w:t>
            </w:r>
          </w:p>
        </w:tc>
        <w:tc>
          <w:tcPr>
            <w:tcW w:w="5493" w:type="dxa"/>
            <w:noWrap w:val="0"/>
            <w:vAlign w:val="center"/>
          </w:tcPr>
          <w:p w14:paraId="28D04B7C">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7D4A37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18FE472F">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2.1.3</w:t>
            </w:r>
          </w:p>
        </w:tc>
        <w:tc>
          <w:tcPr>
            <w:tcW w:w="666" w:type="dxa"/>
            <w:vMerge w:val="restart"/>
            <w:noWrap w:val="0"/>
            <w:vAlign w:val="center"/>
          </w:tcPr>
          <w:p w14:paraId="20B71656">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响应性评审标准</w:t>
            </w:r>
          </w:p>
        </w:tc>
        <w:tc>
          <w:tcPr>
            <w:tcW w:w="2558" w:type="dxa"/>
            <w:gridSpan w:val="3"/>
            <w:noWrap w:val="0"/>
            <w:vAlign w:val="center"/>
          </w:tcPr>
          <w:p w14:paraId="56980D9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center"/>
          </w:tcPr>
          <w:p w14:paraId="49E671D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投标总报价不得高于</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公布的投标总报价最高限价</w:t>
            </w:r>
            <w:r>
              <w:rPr>
                <w:rFonts w:hint="eastAsia" w:ascii="宋体" w:hAnsi="宋体" w:eastAsia="宋体" w:cs="Times New Roman"/>
                <w:color w:val="auto"/>
                <w:kern w:val="0"/>
                <w:highlight w:val="none"/>
              </w:rPr>
              <w:t>。</w:t>
            </w:r>
          </w:p>
        </w:tc>
      </w:tr>
      <w:tr w14:paraId="6E5736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center"/>
          </w:tcPr>
          <w:p w14:paraId="04969B0B">
            <w:pPr>
              <w:spacing w:line="400" w:lineRule="exact"/>
              <w:jc w:val="center"/>
              <w:rPr>
                <w:rFonts w:ascii="宋体" w:hAnsi="宋体" w:eastAsia="宋体" w:cs="Times New Roman"/>
                <w:color w:val="auto"/>
                <w:kern w:val="0"/>
                <w:highlight w:val="none"/>
              </w:rPr>
            </w:pPr>
          </w:p>
        </w:tc>
        <w:tc>
          <w:tcPr>
            <w:tcW w:w="666" w:type="dxa"/>
            <w:vMerge w:val="continue"/>
            <w:noWrap w:val="0"/>
            <w:textDirection w:val="tbRlV"/>
            <w:vAlign w:val="center"/>
          </w:tcPr>
          <w:p w14:paraId="300F7A07">
            <w:pPr>
              <w:spacing w:line="400" w:lineRule="exact"/>
              <w:jc w:val="center"/>
              <w:rPr>
                <w:rFonts w:ascii="宋体" w:hAnsi="宋体" w:eastAsia="宋体" w:cs="Times New Roman"/>
                <w:color w:val="auto"/>
                <w:kern w:val="0"/>
                <w:highlight w:val="none"/>
              </w:rPr>
            </w:pPr>
          </w:p>
        </w:tc>
        <w:tc>
          <w:tcPr>
            <w:tcW w:w="2558" w:type="dxa"/>
            <w:gridSpan w:val="3"/>
            <w:noWrap w:val="0"/>
            <w:vAlign w:val="center"/>
          </w:tcPr>
          <w:p w14:paraId="768CF443">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内容</w:t>
            </w:r>
          </w:p>
        </w:tc>
        <w:tc>
          <w:tcPr>
            <w:tcW w:w="5493" w:type="dxa"/>
            <w:noWrap w:val="0"/>
            <w:vAlign w:val="center"/>
          </w:tcPr>
          <w:p w14:paraId="5AB59EC4">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人须知”第1.3.1项规定</w:t>
            </w:r>
          </w:p>
        </w:tc>
      </w:tr>
      <w:tr w14:paraId="0ADB4B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339F3CE3">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34AF796D">
            <w:pPr>
              <w:spacing w:line="400" w:lineRule="exact"/>
              <w:jc w:val="center"/>
              <w:rPr>
                <w:rFonts w:ascii="宋体" w:hAnsi="宋体" w:eastAsia="宋体" w:cs="Times New Roman"/>
                <w:color w:val="auto"/>
                <w:highlight w:val="none"/>
              </w:rPr>
            </w:pPr>
          </w:p>
        </w:tc>
        <w:tc>
          <w:tcPr>
            <w:tcW w:w="2558" w:type="dxa"/>
            <w:gridSpan w:val="3"/>
            <w:noWrap w:val="0"/>
            <w:vAlign w:val="center"/>
          </w:tcPr>
          <w:p w14:paraId="1C02DBB8">
            <w:pPr>
              <w:spacing w:line="400" w:lineRule="exact"/>
              <w:jc w:val="center"/>
              <w:rPr>
                <w:rFonts w:hint="eastAsia" w:ascii="宋体" w:hAnsi="宋体" w:eastAsia="宋体" w:cs="Times New Roman"/>
                <w:color w:val="auto"/>
                <w:kern w:val="0"/>
                <w:highlight w:val="none"/>
                <w:lang w:eastAsia="zh-CN"/>
              </w:rPr>
            </w:pPr>
            <w:r>
              <w:rPr>
                <w:rFonts w:hint="eastAsia" w:ascii="宋体" w:hAnsi="宋体" w:cs="Times New Roman"/>
                <w:color w:val="auto"/>
                <w:kern w:val="0"/>
                <w:highlight w:val="none"/>
                <w:lang w:val="en-US" w:eastAsia="zh-CN"/>
              </w:rPr>
              <w:t>服务期</w:t>
            </w:r>
          </w:p>
        </w:tc>
        <w:tc>
          <w:tcPr>
            <w:tcW w:w="5493" w:type="dxa"/>
            <w:noWrap w:val="0"/>
            <w:vAlign w:val="center"/>
          </w:tcPr>
          <w:p w14:paraId="765A3200">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人须知”第1.3.2项规定</w:t>
            </w:r>
          </w:p>
        </w:tc>
      </w:tr>
      <w:tr w14:paraId="719C1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2C570DFB">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5F0C94E3">
            <w:pPr>
              <w:spacing w:line="400" w:lineRule="exact"/>
              <w:jc w:val="center"/>
              <w:rPr>
                <w:rFonts w:ascii="宋体" w:hAnsi="宋体" w:eastAsia="宋体" w:cs="Times New Roman"/>
                <w:color w:val="auto"/>
                <w:highlight w:val="none"/>
              </w:rPr>
            </w:pPr>
          </w:p>
        </w:tc>
        <w:tc>
          <w:tcPr>
            <w:tcW w:w="2558" w:type="dxa"/>
            <w:gridSpan w:val="3"/>
            <w:noWrap w:val="0"/>
            <w:vAlign w:val="center"/>
          </w:tcPr>
          <w:p w14:paraId="26BEDA16">
            <w:pPr>
              <w:spacing w:line="400" w:lineRule="exact"/>
              <w:jc w:val="center"/>
              <w:rPr>
                <w:rFonts w:hint="eastAsia" w:ascii="宋体" w:hAnsi="宋体" w:eastAsia="宋体" w:cs="Times New Roman"/>
                <w:color w:val="auto"/>
                <w:kern w:val="0"/>
                <w:highlight w:val="none"/>
                <w:lang w:val="en-US" w:eastAsia="zh-CN"/>
              </w:rPr>
            </w:pPr>
            <w:r>
              <w:rPr>
                <w:rFonts w:ascii="宋体" w:hAnsi="宋体" w:eastAsia="宋体" w:cs="Times New Roman"/>
                <w:color w:val="auto"/>
                <w:kern w:val="0"/>
                <w:highlight w:val="none"/>
              </w:rPr>
              <w:t>质量</w:t>
            </w:r>
            <w:r>
              <w:rPr>
                <w:rFonts w:hint="eastAsia" w:ascii="宋体" w:hAnsi="宋体" w:cs="Times New Roman"/>
                <w:color w:val="auto"/>
                <w:kern w:val="0"/>
                <w:highlight w:val="none"/>
                <w:lang w:val="en-US" w:eastAsia="zh-CN"/>
              </w:rPr>
              <w:t>要求</w:t>
            </w:r>
          </w:p>
        </w:tc>
        <w:tc>
          <w:tcPr>
            <w:tcW w:w="5493" w:type="dxa"/>
            <w:noWrap w:val="0"/>
            <w:vAlign w:val="center"/>
          </w:tcPr>
          <w:p w14:paraId="6F4CA50B">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人须知”第1.3.3项规定</w:t>
            </w:r>
          </w:p>
        </w:tc>
      </w:tr>
      <w:tr w14:paraId="7C54E8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58C6ABCE">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0D3D2DD4">
            <w:pPr>
              <w:spacing w:line="400" w:lineRule="exact"/>
              <w:jc w:val="center"/>
              <w:rPr>
                <w:rFonts w:ascii="宋体" w:hAnsi="宋体" w:eastAsia="宋体" w:cs="Times New Roman"/>
                <w:color w:val="auto"/>
                <w:highlight w:val="none"/>
              </w:rPr>
            </w:pPr>
          </w:p>
        </w:tc>
        <w:tc>
          <w:tcPr>
            <w:tcW w:w="2558" w:type="dxa"/>
            <w:gridSpan w:val="3"/>
            <w:noWrap w:val="0"/>
            <w:vAlign w:val="center"/>
          </w:tcPr>
          <w:p w14:paraId="20562626">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有效期</w:t>
            </w:r>
          </w:p>
        </w:tc>
        <w:tc>
          <w:tcPr>
            <w:tcW w:w="5493" w:type="dxa"/>
            <w:noWrap w:val="0"/>
            <w:vAlign w:val="center"/>
          </w:tcPr>
          <w:p w14:paraId="0433A23F">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人须知”第3.3.1项规定</w:t>
            </w:r>
          </w:p>
        </w:tc>
      </w:tr>
      <w:tr w14:paraId="43E90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BDDACD2">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2ABC80E0">
            <w:pPr>
              <w:spacing w:line="400" w:lineRule="exact"/>
              <w:jc w:val="center"/>
              <w:rPr>
                <w:rFonts w:ascii="宋体" w:hAnsi="宋体" w:eastAsia="宋体" w:cs="Times New Roman"/>
                <w:color w:val="auto"/>
                <w:highlight w:val="none"/>
              </w:rPr>
            </w:pPr>
          </w:p>
        </w:tc>
        <w:tc>
          <w:tcPr>
            <w:tcW w:w="2558" w:type="dxa"/>
            <w:gridSpan w:val="3"/>
            <w:noWrap w:val="0"/>
            <w:vAlign w:val="center"/>
          </w:tcPr>
          <w:p w14:paraId="783D3761">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投标保证金</w:t>
            </w:r>
          </w:p>
        </w:tc>
        <w:tc>
          <w:tcPr>
            <w:tcW w:w="5493" w:type="dxa"/>
            <w:noWrap w:val="0"/>
            <w:vAlign w:val="center"/>
          </w:tcPr>
          <w:p w14:paraId="1A7BF86F">
            <w:pPr>
              <w:tabs>
                <w:tab w:val="left" w:pos="601"/>
                <w:tab w:val="left" w:pos="669"/>
              </w:tabs>
              <w:snapToGrid w:val="0"/>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szCs w:val="21"/>
                <w:highlight w:val="none"/>
              </w:rPr>
              <w:t>符合第二章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须知前附表第3.4项</w:t>
            </w:r>
            <w:r>
              <w:rPr>
                <w:rFonts w:ascii="宋体" w:hAnsi="宋体" w:eastAsia="宋体" w:cs="Times New Roman"/>
                <w:color w:val="auto"/>
                <w:kern w:val="0"/>
                <w:highlight w:val="none"/>
              </w:rPr>
              <w:t>规定</w:t>
            </w:r>
          </w:p>
        </w:tc>
      </w:tr>
      <w:tr w14:paraId="219AB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2057182">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2782E521">
            <w:pPr>
              <w:spacing w:line="400" w:lineRule="exact"/>
              <w:jc w:val="center"/>
              <w:rPr>
                <w:rFonts w:ascii="宋体" w:hAnsi="宋体" w:eastAsia="宋体" w:cs="Times New Roman"/>
                <w:color w:val="auto"/>
                <w:highlight w:val="none"/>
              </w:rPr>
            </w:pPr>
          </w:p>
        </w:tc>
        <w:tc>
          <w:tcPr>
            <w:tcW w:w="2558" w:type="dxa"/>
            <w:gridSpan w:val="3"/>
            <w:noWrap w:val="0"/>
            <w:vAlign w:val="center"/>
          </w:tcPr>
          <w:p w14:paraId="691B689E">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权利义务</w:t>
            </w:r>
          </w:p>
        </w:tc>
        <w:tc>
          <w:tcPr>
            <w:tcW w:w="5493" w:type="dxa"/>
            <w:noWrap w:val="0"/>
            <w:vAlign w:val="center"/>
          </w:tcPr>
          <w:p w14:paraId="7F46330F">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符合第四章“合同条款及格式”规定，</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不应附有</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不能接受的条件。</w:t>
            </w:r>
          </w:p>
        </w:tc>
      </w:tr>
      <w:tr w14:paraId="59E41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71CCA4F1">
            <w:pPr>
              <w:spacing w:line="400" w:lineRule="exact"/>
              <w:rPr>
                <w:rFonts w:ascii="宋体" w:hAnsi="宋体" w:eastAsia="宋体" w:cs="Times New Roman"/>
                <w:color w:val="auto"/>
                <w:highlight w:val="none"/>
              </w:rPr>
            </w:pPr>
          </w:p>
        </w:tc>
        <w:tc>
          <w:tcPr>
            <w:tcW w:w="666" w:type="dxa"/>
            <w:vMerge w:val="continue"/>
            <w:noWrap w:val="0"/>
            <w:vAlign w:val="top"/>
          </w:tcPr>
          <w:p w14:paraId="7B834EF3">
            <w:pPr>
              <w:spacing w:line="400" w:lineRule="exact"/>
              <w:rPr>
                <w:rFonts w:ascii="宋体" w:hAnsi="宋体" w:eastAsia="宋体" w:cs="Times New Roman"/>
                <w:color w:val="auto"/>
                <w:highlight w:val="none"/>
              </w:rPr>
            </w:pPr>
          </w:p>
        </w:tc>
        <w:tc>
          <w:tcPr>
            <w:tcW w:w="2558" w:type="dxa"/>
            <w:gridSpan w:val="3"/>
            <w:noWrap w:val="0"/>
            <w:vAlign w:val="center"/>
          </w:tcPr>
          <w:p w14:paraId="2B1D0A4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技术标准和要求</w:t>
            </w:r>
          </w:p>
        </w:tc>
        <w:tc>
          <w:tcPr>
            <w:tcW w:w="5493" w:type="dxa"/>
            <w:noWrap w:val="0"/>
            <w:vAlign w:val="center"/>
          </w:tcPr>
          <w:p w14:paraId="09574920">
            <w:pPr>
              <w:spacing w:line="400" w:lineRule="exact"/>
              <w:ind w:firstLine="420" w:firstLineChars="200"/>
              <w:rPr>
                <w:rFonts w:hint="eastAsia" w:ascii="宋体" w:hAnsi="宋体" w:eastAsia="宋体" w:cs="Times New Roman"/>
                <w:color w:val="auto"/>
                <w:kern w:val="0"/>
                <w:highlight w:val="none"/>
              </w:rPr>
            </w:pPr>
            <w:r>
              <w:rPr>
                <w:rFonts w:ascii="宋体" w:hAnsi="宋体" w:eastAsia="宋体" w:cs="Times New Roman"/>
                <w:color w:val="auto"/>
                <w:kern w:val="0"/>
                <w:highlight w:val="none"/>
              </w:rPr>
              <w:t>符合第</w:t>
            </w:r>
            <w:r>
              <w:rPr>
                <w:rFonts w:hint="eastAsia" w:ascii="宋体" w:hAnsi="宋体" w:cs="Times New Roman"/>
                <w:color w:val="auto"/>
                <w:kern w:val="0"/>
                <w:highlight w:val="none"/>
                <w:lang w:val="en-US" w:eastAsia="zh-CN"/>
              </w:rPr>
              <w:t>五</w:t>
            </w:r>
            <w:r>
              <w:rPr>
                <w:rFonts w:ascii="宋体" w:hAnsi="宋体" w:eastAsia="宋体" w:cs="Times New Roman"/>
                <w:color w:val="auto"/>
                <w:kern w:val="0"/>
                <w:highlight w:val="none"/>
              </w:rPr>
              <w:t>章“技术标准和要求”规定。</w:t>
            </w:r>
          </w:p>
        </w:tc>
      </w:tr>
      <w:tr w14:paraId="2F51C9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3879EBF">
            <w:pPr>
              <w:spacing w:line="400" w:lineRule="exact"/>
              <w:rPr>
                <w:rFonts w:ascii="宋体" w:hAnsi="宋体" w:eastAsia="宋体" w:cs="Times New Roman"/>
                <w:color w:val="auto"/>
                <w:highlight w:val="none"/>
              </w:rPr>
            </w:pPr>
          </w:p>
        </w:tc>
        <w:tc>
          <w:tcPr>
            <w:tcW w:w="666" w:type="dxa"/>
            <w:vMerge w:val="continue"/>
            <w:noWrap w:val="0"/>
            <w:vAlign w:val="top"/>
          </w:tcPr>
          <w:p w14:paraId="105C4EE9">
            <w:pPr>
              <w:spacing w:line="400" w:lineRule="exact"/>
              <w:rPr>
                <w:rFonts w:ascii="宋体" w:hAnsi="宋体" w:eastAsia="宋体" w:cs="Times New Roman"/>
                <w:color w:val="auto"/>
                <w:highlight w:val="none"/>
              </w:rPr>
            </w:pPr>
          </w:p>
        </w:tc>
        <w:tc>
          <w:tcPr>
            <w:tcW w:w="2558" w:type="dxa"/>
            <w:gridSpan w:val="3"/>
            <w:noWrap w:val="0"/>
            <w:vAlign w:val="center"/>
          </w:tcPr>
          <w:p w14:paraId="24DAD1D7">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竞标报价</w:t>
            </w:r>
            <w:r>
              <w:rPr>
                <w:rFonts w:ascii="宋体" w:hAnsi="宋体" w:eastAsia="宋体" w:cs="Times New Roman"/>
                <w:color w:val="auto"/>
                <w:kern w:val="0"/>
                <w:highlight w:val="none"/>
              </w:rPr>
              <w:t>算术错误修正</w:t>
            </w:r>
          </w:p>
        </w:tc>
        <w:tc>
          <w:tcPr>
            <w:tcW w:w="5493" w:type="dxa"/>
            <w:noWrap w:val="0"/>
            <w:vAlign w:val="center"/>
          </w:tcPr>
          <w:p w14:paraId="10863B57">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符合第三章3.评标程序第3.1.3项规定。</w:t>
            </w:r>
          </w:p>
        </w:tc>
      </w:tr>
      <w:tr w14:paraId="37FF1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22F554CA">
            <w:pPr>
              <w:spacing w:line="400" w:lineRule="exact"/>
              <w:rPr>
                <w:rFonts w:ascii="宋体" w:hAnsi="宋体" w:eastAsia="宋体" w:cs="Times New Roman"/>
                <w:color w:val="auto"/>
                <w:highlight w:val="none"/>
              </w:rPr>
            </w:pPr>
          </w:p>
        </w:tc>
        <w:tc>
          <w:tcPr>
            <w:tcW w:w="666" w:type="dxa"/>
            <w:vMerge w:val="continue"/>
            <w:noWrap w:val="0"/>
            <w:vAlign w:val="top"/>
          </w:tcPr>
          <w:p w14:paraId="13D4B340">
            <w:pPr>
              <w:spacing w:line="400" w:lineRule="exact"/>
              <w:rPr>
                <w:rFonts w:ascii="宋体" w:hAnsi="宋体" w:eastAsia="宋体" w:cs="Times New Roman"/>
                <w:color w:val="auto"/>
                <w:highlight w:val="none"/>
              </w:rPr>
            </w:pPr>
          </w:p>
        </w:tc>
        <w:tc>
          <w:tcPr>
            <w:tcW w:w="2558" w:type="dxa"/>
            <w:gridSpan w:val="3"/>
            <w:noWrap w:val="0"/>
            <w:vAlign w:val="center"/>
          </w:tcPr>
          <w:p w14:paraId="11455D31">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实质性要求</w:t>
            </w:r>
          </w:p>
        </w:tc>
        <w:tc>
          <w:tcPr>
            <w:tcW w:w="5493" w:type="dxa"/>
            <w:noWrap w:val="0"/>
            <w:vAlign w:val="center"/>
          </w:tcPr>
          <w:p w14:paraId="698A231E">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涉嫌</w:t>
            </w:r>
            <w:r>
              <w:rPr>
                <w:rFonts w:hint="eastAsia" w:ascii="宋体" w:hAnsi="宋体" w:eastAsia="宋体" w:cs="Times New Roman"/>
                <w:color w:val="auto"/>
                <w:kern w:val="0"/>
                <w:highlight w:val="none"/>
              </w:rPr>
              <w:t>串通投标</w:t>
            </w:r>
            <w:r>
              <w:rPr>
                <w:rFonts w:ascii="宋体" w:hAnsi="宋体" w:eastAsia="宋体" w:cs="Times New Roman"/>
                <w:color w:val="auto"/>
                <w:kern w:val="0"/>
                <w:highlight w:val="none"/>
              </w:rPr>
              <w:t>、弄虚作假等其他违反招投标相关法律、法规行为的。</w:t>
            </w:r>
          </w:p>
        </w:tc>
      </w:tr>
      <w:bookmarkEnd w:id="372"/>
      <w:bookmarkEnd w:id="373"/>
      <w:bookmarkEnd w:id="374"/>
      <w:bookmarkEnd w:id="375"/>
      <w:bookmarkEnd w:id="376"/>
      <w:tr w14:paraId="55F88D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27AE0A92">
            <w:pPr>
              <w:spacing w:line="400" w:lineRule="exact"/>
              <w:ind w:firstLine="210" w:firstLineChars="100"/>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2.2.1</w:t>
            </w:r>
          </w:p>
        </w:tc>
        <w:tc>
          <w:tcPr>
            <w:tcW w:w="2558" w:type="dxa"/>
            <w:gridSpan w:val="3"/>
            <w:shd w:val="clear" w:color="auto" w:fill="auto"/>
            <w:noWrap w:val="0"/>
            <w:vAlign w:val="center"/>
          </w:tcPr>
          <w:p w14:paraId="0FB7D72D">
            <w:pPr>
              <w:tabs>
                <w:tab w:val="left" w:pos="1875"/>
              </w:tabs>
              <w:spacing w:line="400" w:lineRule="exact"/>
              <w:jc w:val="center"/>
              <w:rPr>
                <w:rFonts w:ascii="宋体" w:hAnsi="宋体" w:eastAsia="宋体" w:cs="Times New Roman"/>
                <w:color w:val="auto"/>
                <w:kern w:val="0"/>
                <w:highlight w:val="none"/>
                <w:shd w:val="clear" w:color="auto" w:fill="auto"/>
              </w:rPr>
            </w:pPr>
            <w:r>
              <w:rPr>
                <w:rFonts w:ascii="宋体" w:hAnsi="宋体" w:eastAsia="宋体" w:cs="Times New Roman"/>
                <w:color w:val="auto"/>
                <w:kern w:val="0"/>
                <w:highlight w:val="none"/>
                <w:shd w:val="clear" w:color="auto" w:fill="auto"/>
              </w:rPr>
              <w:t>分值构成 （总分1</w:t>
            </w:r>
            <w:r>
              <w:rPr>
                <w:rFonts w:hint="eastAsia" w:ascii="宋体" w:hAnsi="宋体" w:eastAsia="宋体" w:cs="Times New Roman"/>
                <w:color w:val="auto"/>
                <w:kern w:val="0"/>
                <w:highlight w:val="none"/>
                <w:shd w:val="clear" w:color="auto" w:fill="auto"/>
              </w:rPr>
              <w:t>00</w:t>
            </w:r>
            <w:r>
              <w:rPr>
                <w:rFonts w:ascii="宋体" w:hAnsi="宋体" w:eastAsia="宋体" w:cs="Times New Roman"/>
                <w:color w:val="auto"/>
                <w:kern w:val="0"/>
                <w:highlight w:val="none"/>
                <w:shd w:val="clear" w:color="auto" w:fill="auto"/>
              </w:rPr>
              <w:t>分）</w:t>
            </w:r>
          </w:p>
        </w:tc>
        <w:tc>
          <w:tcPr>
            <w:tcW w:w="5493" w:type="dxa"/>
            <w:shd w:val="clear" w:color="auto" w:fill="auto"/>
            <w:noWrap w:val="0"/>
            <w:vAlign w:val="center"/>
          </w:tcPr>
          <w:p w14:paraId="058AFA75">
            <w:pPr>
              <w:snapToGrid w:val="0"/>
              <w:spacing w:line="400" w:lineRule="exact"/>
              <w:ind w:firstLine="420" w:firstLineChars="200"/>
              <w:rPr>
                <w:rFonts w:hint="eastAsia" w:ascii="宋体" w:hAnsi="宋体" w:eastAsia="宋体" w:cs="Times New Roman"/>
                <w:color w:val="auto"/>
                <w:kern w:val="0"/>
                <w:highlight w:val="none"/>
                <w:shd w:val="clear" w:color="auto" w:fill="auto"/>
              </w:rPr>
            </w:pPr>
            <w:r>
              <w:rPr>
                <w:rFonts w:hint="eastAsia" w:ascii="宋体" w:hAnsi="宋体" w:eastAsia="宋体" w:cs="Times New Roman"/>
                <w:color w:val="auto"/>
                <w:kern w:val="0"/>
                <w:highlight w:val="none"/>
                <w:shd w:val="clear" w:color="auto" w:fill="auto"/>
              </w:rPr>
              <w:t>1</w:t>
            </w:r>
            <w:r>
              <w:rPr>
                <w:rFonts w:ascii="宋体" w:hAnsi="宋体" w:eastAsia="宋体" w:cs="Times New Roman"/>
                <w:color w:val="auto"/>
                <w:kern w:val="0"/>
                <w:highlight w:val="none"/>
                <w:shd w:val="clear" w:color="auto" w:fill="auto"/>
              </w:rPr>
              <w:t>.</w:t>
            </w:r>
            <w:r>
              <w:rPr>
                <w:rFonts w:hint="eastAsia" w:ascii="宋体" w:hAnsi="宋体" w:cs="Times New Roman"/>
                <w:color w:val="auto"/>
                <w:kern w:val="0"/>
                <w:highlight w:val="none"/>
                <w:shd w:val="clear" w:color="auto" w:fill="auto"/>
                <w:lang w:eastAsia="zh-CN"/>
              </w:rPr>
              <w:t>技术</w:t>
            </w:r>
            <w:r>
              <w:rPr>
                <w:rFonts w:hint="eastAsia" w:ascii="宋体" w:hAnsi="宋体" w:eastAsia="宋体" w:cs="Times New Roman"/>
                <w:color w:val="auto"/>
                <w:kern w:val="0"/>
                <w:highlight w:val="none"/>
                <w:shd w:val="clear" w:color="auto" w:fill="auto"/>
              </w:rPr>
              <w:t>方案</w:t>
            </w:r>
            <w:r>
              <w:rPr>
                <w:rFonts w:hint="eastAsia" w:ascii="宋体" w:hAnsi="宋体" w:cs="Times New Roman"/>
                <w:color w:val="auto"/>
                <w:kern w:val="0"/>
                <w:highlight w:val="none"/>
                <w:u w:val="single"/>
                <w:shd w:val="clear" w:color="auto" w:fill="auto"/>
                <w:lang w:val="en-US" w:eastAsia="zh-CN"/>
              </w:rPr>
              <w:t>3</w:t>
            </w:r>
            <w:r>
              <w:rPr>
                <w:rFonts w:hint="eastAsia" w:ascii="宋体" w:hAnsi="宋体" w:eastAsia="宋体" w:cs="Times New Roman"/>
                <w:color w:val="auto"/>
                <w:kern w:val="0"/>
                <w:highlight w:val="none"/>
                <w:u w:val="single"/>
                <w:shd w:val="clear" w:color="auto" w:fill="auto"/>
                <w:lang w:val="en-US" w:eastAsia="zh-CN"/>
              </w:rPr>
              <w:t>0</w:t>
            </w:r>
            <w:r>
              <w:rPr>
                <w:rFonts w:ascii="宋体" w:hAnsi="宋体" w:eastAsia="宋体" w:cs="Times New Roman"/>
                <w:color w:val="auto"/>
                <w:kern w:val="0"/>
                <w:highlight w:val="none"/>
                <w:shd w:val="clear" w:color="auto" w:fill="auto"/>
              </w:rPr>
              <w:t>分</w:t>
            </w:r>
            <w:r>
              <w:rPr>
                <w:rFonts w:hint="eastAsia" w:ascii="宋体" w:hAnsi="宋体" w:eastAsia="宋体" w:cs="Times New Roman"/>
                <w:color w:val="auto"/>
                <w:kern w:val="0"/>
                <w:highlight w:val="none"/>
                <w:shd w:val="clear" w:color="auto" w:fill="auto"/>
              </w:rPr>
              <w:t>；</w:t>
            </w:r>
          </w:p>
          <w:p w14:paraId="217DA23E">
            <w:pPr>
              <w:snapToGrid w:val="0"/>
              <w:spacing w:line="400" w:lineRule="exact"/>
              <w:ind w:firstLine="420" w:firstLineChars="200"/>
              <w:rPr>
                <w:rFonts w:hint="eastAsia" w:ascii="宋体" w:hAnsi="宋体" w:eastAsia="宋体" w:cs="Times New Roman"/>
                <w:color w:val="auto"/>
                <w:kern w:val="0"/>
                <w:highlight w:val="none"/>
                <w:shd w:val="clear" w:color="auto" w:fill="auto"/>
                <w:lang w:val="en-US" w:eastAsia="zh-CN"/>
              </w:rPr>
            </w:pPr>
            <w:r>
              <w:rPr>
                <w:rFonts w:hint="eastAsia" w:ascii="宋体" w:hAnsi="宋体" w:eastAsia="宋体" w:cs="Times New Roman"/>
                <w:color w:val="auto"/>
                <w:kern w:val="0"/>
                <w:highlight w:val="none"/>
                <w:shd w:val="clear" w:color="auto" w:fill="auto"/>
              </w:rPr>
              <w:t>2.</w:t>
            </w:r>
            <w:r>
              <w:rPr>
                <w:rFonts w:hint="eastAsia" w:ascii="宋体" w:hAnsi="宋体" w:eastAsia="宋体" w:cs="Times New Roman"/>
                <w:color w:val="auto"/>
                <w:kern w:val="0"/>
                <w:highlight w:val="none"/>
                <w:shd w:val="clear" w:color="auto" w:fill="auto"/>
                <w:lang w:val="en-US" w:eastAsia="zh-CN"/>
              </w:rPr>
              <w:t>商务部分</w:t>
            </w:r>
            <w:r>
              <w:rPr>
                <w:rFonts w:hint="eastAsia" w:ascii="宋体" w:hAnsi="宋体" w:cs="Times New Roman"/>
                <w:color w:val="auto"/>
                <w:kern w:val="0"/>
                <w:highlight w:val="none"/>
                <w:u w:val="single"/>
                <w:shd w:val="clear" w:color="auto" w:fill="auto"/>
                <w:lang w:val="en-US" w:eastAsia="zh-CN"/>
              </w:rPr>
              <w:t>2</w:t>
            </w:r>
            <w:r>
              <w:rPr>
                <w:rFonts w:hint="eastAsia" w:ascii="宋体" w:hAnsi="宋体" w:eastAsia="宋体" w:cs="Times New Roman"/>
                <w:color w:val="auto"/>
                <w:kern w:val="0"/>
                <w:highlight w:val="none"/>
                <w:u w:val="single"/>
                <w:shd w:val="clear" w:color="auto" w:fill="auto"/>
                <w:lang w:val="en-US" w:eastAsia="zh-CN"/>
              </w:rPr>
              <w:t>0</w:t>
            </w:r>
            <w:r>
              <w:rPr>
                <w:rFonts w:hint="eastAsia" w:ascii="宋体" w:hAnsi="宋体" w:eastAsia="宋体" w:cs="Times New Roman"/>
                <w:color w:val="auto"/>
                <w:kern w:val="0"/>
                <w:highlight w:val="none"/>
                <w:shd w:val="clear" w:color="auto" w:fill="auto"/>
              </w:rPr>
              <w:t>分</w:t>
            </w:r>
            <w:r>
              <w:rPr>
                <w:rFonts w:hint="eastAsia" w:ascii="宋体" w:hAnsi="宋体" w:eastAsia="宋体" w:cs="Times New Roman"/>
                <w:color w:val="auto"/>
                <w:kern w:val="0"/>
                <w:highlight w:val="none"/>
                <w:shd w:val="clear" w:color="auto" w:fill="auto"/>
                <w:lang w:val="en-US" w:eastAsia="zh-CN"/>
              </w:rPr>
              <w:t>；</w:t>
            </w:r>
          </w:p>
          <w:p w14:paraId="5F87F804">
            <w:pPr>
              <w:snapToGrid w:val="0"/>
              <w:spacing w:line="400" w:lineRule="exact"/>
              <w:ind w:firstLine="420" w:firstLineChars="200"/>
              <w:rPr>
                <w:rFonts w:ascii="宋体" w:hAnsi="宋体" w:eastAsia="宋体" w:cs="Times New Roman"/>
                <w:i/>
                <w:color w:val="auto"/>
                <w:kern w:val="0"/>
                <w:highlight w:val="none"/>
                <w:shd w:val="clear" w:color="auto" w:fill="auto"/>
              </w:rPr>
            </w:pPr>
            <w:r>
              <w:rPr>
                <w:rFonts w:hint="eastAsia" w:ascii="宋体" w:hAnsi="宋体" w:eastAsia="宋体" w:cs="Times New Roman"/>
                <w:color w:val="auto"/>
                <w:kern w:val="0"/>
                <w:highlight w:val="none"/>
                <w:shd w:val="clear" w:color="auto" w:fill="auto"/>
                <w:lang w:val="en-US" w:eastAsia="zh-CN"/>
              </w:rPr>
              <w:t>3.</w:t>
            </w:r>
            <w:r>
              <w:rPr>
                <w:rFonts w:hint="eastAsia" w:ascii="宋体" w:hAnsi="宋体" w:eastAsia="宋体" w:cs="Times New Roman"/>
                <w:color w:val="auto"/>
                <w:kern w:val="0"/>
                <w:highlight w:val="none"/>
                <w:shd w:val="clear" w:color="auto" w:fill="auto"/>
              </w:rPr>
              <w:t>投标总报价</w:t>
            </w:r>
            <w:r>
              <w:rPr>
                <w:rFonts w:hint="eastAsia" w:ascii="宋体" w:hAnsi="宋体" w:cs="Times New Roman"/>
                <w:color w:val="auto"/>
                <w:kern w:val="0"/>
                <w:highlight w:val="none"/>
                <w:u w:val="single"/>
                <w:shd w:val="clear" w:color="auto" w:fill="auto"/>
                <w:lang w:val="en-US" w:eastAsia="zh-CN"/>
              </w:rPr>
              <w:t>5</w:t>
            </w:r>
            <w:r>
              <w:rPr>
                <w:rFonts w:hint="eastAsia" w:ascii="宋体" w:hAnsi="宋体" w:eastAsia="宋体" w:cs="Times New Roman"/>
                <w:color w:val="auto"/>
                <w:kern w:val="0"/>
                <w:highlight w:val="none"/>
                <w:u w:val="single"/>
                <w:shd w:val="clear" w:color="auto" w:fill="auto"/>
                <w:lang w:val="en-US" w:eastAsia="zh-CN"/>
              </w:rPr>
              <w:t>0</w:t>
            </w:r>
            <w:r>
              <w:rPr>
                <w:rFonts w:hint="eastAsia" w:ascii="宋体" w:hAnsi="宋体" w:eastAsia="宋体" w:cs="Times New Roman"/>
                <w:color w:val="auto"/>
                <w:kern w:val="0"/>
                <w:highlight w:val="none"/>
                <w:shd w:val="clear" w:color="auto" w:fill="auto"/>
              </w:rPr>
              <w:t>分.</w:t>
            </w:r>
          </w:p>
        </w:tc>
      </w:tr>
      <w:tr w14:paraId="1F93D1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18" w:type="dxa"/>
            <w:gridSpan w:val="2"/>
            <w:noWrap w:val="0"/>
            <w:vAlign w:val="center"/>
          </w:tcPr>
          <w:p w14:paraId="3E9B8531">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2.2.2</w:t>
            </w:r>
          </w:p>
        </w:tc>
        <w:tc>
          <w:tcPr>
            <w:tcW w:w="1546" w:type="dxa"/>
            <w:gridSpan w:val="2"/>
            <w:noWrap w:val="0"/>
            <w:vAlign w:val="center"/>
          </w:tcPr>
          <w:p w14:paraId="49F8D02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评标基准价计算方法</w:t>
            </w:r>
          </w:p>
        </w:tc>
        <w:tc>
          <w:tcPr>
            <w:tcW w:w="1012" w:type="dxa"/>
            <w:noWrap w:val="0"/>
            <w:vAlign w:val="center"/>
          </w:tcPr>
          <w:p w14:paraId="3633F56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top"/>
          </w:tcPr>
          <w:p w14:paraId="54B84B9B">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所有通过初步评审评审合格的投标人的投标总报价中去掉六分之一（不能整除的按小数点前整数取整，不足六家报价则不去掉）的最低价和相同家数的最高价后的算术平均值与本项目最高限价再取平均值，即为本项目投标总报价的评标基准价。</w:t>
            </w:r>
          </w:p>
          <w:p w14:paraId="31D59BB9">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评标基准价计算的最终</w:t>
            </w:r>
            <w:r>
              <w:rPr>
                <w:rFonts w:ascii="宋体" w:hAnsi="宋体" w:eastAsia="宋体" w:cs="Times New Roman"/>
                <w:color w:val="auto"/>
                <w:kern w:val="0"/>
                <w:szCs w:val="21"/>
                <w:highlight w:val="none"/>
              </w:rPr>
              <w:t>结果取小数点后两位，第三位四舍五入。</w:t>
            </w:r>
          </w:p>
        </w:tc>
      </w:tr>
      <w:tr w14:paraId="66B00E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restart"/>
            <w:noWrap w:val="0"/>
            <w:vAlign w:val="center"/>
          </w:tcPr>
          <w:p w14:paraId="09EEE0F6">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2.2.3 </w:t>
            </w:r>
          </w:p>
        </w:tc>
        <w:tc>
          <w:tcPr>
            <w:tcW w:w="2558" w:type="dxa"/>
            <w:gridSpan w:val="3"/>
            <w:vMerge w:val="restart"/>
            <w:noWrap w:val="0"/>
            <w:vAlign w:val="center"/>
          </w:tcPr>
          <w:p w14:paraId="7B7B7C73">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允许偏差率</w:t>
            </w:r>
          </w:p>
        </w:tc>
        <w:tc>
          <w:tcPr>
            <w:tcW w:w="5493" w:type="dxa"/>
            <w:noWrap w:val="0"/>
            <w:vAlign w:val="center"/>
          </w:tcPr>
          <w:p w14:paraId="0529C3E5">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投标总报价的偏差率计算公式</w:t>
            </w:r>
          </w:p>
          <w:p w14:paraId="1E09B2A4">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偏差率</w:t>
            </w:r>
            <w:r>
              <w:rPr>
                <w:rFonts w:ascii="宋体" w:hAnsi="宋体" w:eastAsia="宋体" w:cs="Times New Roman"/>
                <w:color w:val="auto"/>
                <w:kern w:val="0"/>
                <w:sz w:val="28"/>
                <w:szCs w:val="28"/>
                <w:highlight w:val="none"/>
              </w:rPr>
              <w:t>=</w:t>
            </w:r>
            <w:r>
              <w:rPr>
                <w:rFonts w:ascii="宋体" w:hAnsi="宋体" w:eastAsia="宋体" w:cs="Times New Roman"/>
                <w:color w:val="auto"/>
                <w:kern w:val="0"/>
                <w:highlight w:val="none"/>
              </w:rPr>
              <w:t>100％×（</w:t>
            </w:r>
            <w:r>
              <w:rPr>
                <w:rFonts w:hint="eastAsia" w:ascii="宋体" w:hAnsi="宋体" w:eastAsia="宋体" w:cs="Times New Roman"/>
                <w:color w:val="auto"/>
                <w:kern w:val="0"/>
                <w:highlight w:val="none"/>
                <w:lang w:eastAsia="zh-CN"/>
              </w:rPr>
              <w:t>竞标人</w:t>
            </w:r>
            <w:r>
              <w:rPr>
                <w:rFonts w:ascii="宋体" w:hAnsi="宋体" w:eastAsia="宋体" w:cs="Times New Roman"/>
                <w:color w:val="auto"/>
                <w:kern w:val="0"/>
                <w:highlight w:val="none"/>
              </w:rPr>
              <w:t>报价一评标基准价</w:t>
            </w:r>
            <w:r>
              <w:rPr>
                <w:rFonts w:hint="eastAsia" w:ascii="宋体" w:hAnsi="宋体" w:eastAsia="宋体" w:cs="Times New Roman"/>
                <w:color w:val="auto"/>
                <w:kern w:val="0"/>
                <w:highlight w:val="none"/>
                <w:lang w:eastAsia="zh-CN"/>
              </w:rPr>
              <w:t>）</w:t>
            </w:r>
            <w:r>
              <w:rPr>
                <w:rFonts w:ascii="宋体" w:hAnsi="宋体" w:eastAsia="宋体" w:cs="Times New Roman"/>
                <w:color w:val="auto"/>
                <w:kern w:val="0"/>
                <w:highlight w:val="none"/>
              </w:rPr>
              <w:t>／评标基准价</w:t>
            </w:r>
          </w:p>
          <w:p w14:paraId="2A03FBC9">
            <w:pPr>
              <w:spacing w:line="400" w:lineRule="exact"/>
              <w:ind w:firstLine="200"/>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    偏差率</w:t>
            </w:r>
            <w:r>
              <w:rPr>
                <w:rFonts w:ascii="宋体" w:hAnsi="宋体" w:eastAsia="宋体" w:cs="Times New Roman"/>
                <w:color w:val="auto"/>
                <w:kern w:val="0"/>
                <w:szCs w:val="21"/>
                <w:highlight w:val="none"/>
              </w:rPr>
              <w:t>计算保留小数点后两位，小数点后第三位“四舍五入”。</w:t>
            </w:r>
          </w:p>
        </w:tc>
      </w:tr>
      <w:tr w14:paraId="4FFC6E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continue"/>
            <w:noWrap w:val="0"/>
            <w:vAlign w:val="center"/>
          </w:tcPr>
          <w:p w14:paraId="55CFBC81">
            <w:pPr>
              <w:spacing w:line="400" w:lineRule="exact"/>
              <w:jc w:val="center"/>
              <w:rPr>
                <w:rFonts w:ascii="宋体" w:hAnsi="宋体" w:eastAsia="宋体" w:cs="Times New Roman"/>
                <w:color w:val="auto"/>
                <w:kern w:val="0"/>
                <w:highlight w:val="none"/>
              </w:rPr>
            </w:pPr>
          </w:p>
        </w:tc>
        <w:tc>
          <w:tcPr>
            <w:tcW w:w="2558" w:type="dxa"/>
            <w:gridSpan w:val="3"/>
            <w:vMerge w:val="continue"/>
            <w:noWrap w:val="0"/>
            <w:vAlign w:val="center"/>
          </w:tcPr>
          <w:p w14:paraId="1BCE461D">
            <w:pPr>
              <w:spacing w:line="400" w:lineRule="exact"/>
              <w:jc w:val="center"/>
              <w:rPr>
                <w:rFonts w:ascii="宋体" w:hAnsi="宋体" w:eastAsia="宋体" w:cs="Times New Roman"/>
                <w:color w:val="auto"/>
                <w:kern w:val="0"/>
                <w:highlight w:val="none"/>
              </w:rPr>
            </w:pPr>
          </w:p>
        </w:tc>
        <w:tc>
          <w:tcPr>
            <w:tcW w:w="5493" w:type="dxa"/>
            <w:noWrap w:val="0"/>
            <w:vAlign w:val="center"/>
          </w:tcPr>
          <w:p w14:paraId="6D08FE5A">
            <w:pPr>
              <w:snapToGrid w:val="0"/>
              <w:spacing w:line="400" w:lineRule="exact"/>
              <w:ind w:firstLine="420" w:firstLineChars="200"/>
              <w:jc w:val="left"/>
              <w:rPr>
                <w:rFonts w:ascii="宋体" w:hAnsi="宋体" w:eastAsia="宋体" w:cs="Times New Roman"/>
                <w:i/>
                <w:color w:val="auto"/>
                <w:kern w:val="0"/>
                <w:highlight w:val="none"/>
              </w:rPr>
            </w:pPr>
            <w:r>
              <w:rPr>
                <w:rFonts w:hint="eastAsia" w:ascii="宋体" w:hAnsi="宋体" w:eastAsia="宋体" w:cs="Times New Roman"/>
                <w:color w:val="auto"/>
                <w:kern w:val="0"/>
                <w:highlight w:val="none"/>
                <w:lang w:eastAsia="zh-CN"/>
              </w:rPr>
              <w:t>☑</w:t>
            </w:r>
            <w:r>
              <w:rPr>
                <w:rFonts w:hint="eastAsia" w:ascii="宋体" w:hAnsi="宋体" w:eastAsia="宋体" w:cs="Times New Roman"/>
                <w:color w:val="auto"/>
                <w:kern w:val="0"/>
                <w:highlight w:val="none"/>
              </w:rPr>
              <w:t>不设偏差范围。</w:t>
            </w:r>
          </w:p>
        </w:tc>
      </w:tr>
      <w:tr w14:paraId="42C584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753D6998">
            <w:pPr>
              <w:snapToGrid w:val="0"/>
              <w:spacing w:line="400" w:lineRule="exac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2.2.4</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eastAsia="zh-CN"/>
              </w:rPr>
              <w:t>）</w:t>
            </w:r>
            <w:r>
              <w:rPr>
                <w:rFonts w:ascii="宋体" w:hAnsi="宋体" w:eastAsia="宋体" w:cs="Times New Roman"/>
                <w:color w:val="auto"/>
                <w:kern w:val="0"/>
                <w:szCs w:val="21"/>
                <w:highlight w:val="none"/>
              </w:rPr>
              <w:t xml:space="preserve"> </w:t>
            </w:r>
          </w:p>
        </w:tc>
        <w:tc>
          <w:tcPr>
            <w:tcW w:w="666" w:type="dxa"/>
            <w:vMerge w:val="restart"/>
            <w:noWrap w:val="0"/>
            <w:vAlign w:val="center"/>
          </w:tcPr>
          <w:p w14:paraId="234DF5B5">
            <w:pPr>
              <w:snapToGrid w:val="0"/>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技术方案</w:t>
            </w:r>
            <w:r>
              <w:rPr>
                <w:rFonts w:ascii="宋体" w:hAnsi="宋体" w:eastAsia="宋体" w:cs="Times New Roman"/>
                <w:color w:val="auto"/>
                <w:kern w:val="0"/>
                <w:highlight w:val="none"/>
              </w:rPr>
              <w:t>评分标准</w:t>
            </w:r>
          </w:p>
        </w:tc>
        <w:tc>
          <w:tcPr>
            <w:tcW w:w="2558" w:type="dxa"/>
            <w:gridSpan w:val="3"/>
            <w:shd w:val="clear" w:color="auto" w:fill="auto"/>
            <w:noWrap w:val="0"/>
            <w:vAlign w:val="center"/>
          </w:tcPr>
          <w:p w14:paraId="6583B431">
            <w:pPr>
              <w:tabs>
                <w:tab w:val="left" w:pos="1875"/>
              </w:tabs>
              <w:spacing w:line="400" w:lineRule="exact"/>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服务目标（</w:t>
            </w:r>
            <w:r>
              <w:rPr>
                <w:rFonts w:hint="eastAsia" w:ascii="宋体" w:hAnsi="宋体" w:cs="Times New Roman"/>
                <w:color w:val="auto"/>
                <w:kern w:val="0"/>
                <w:highlight w:val="none"/>
                <w:lang w:val="en-US" w:eastAsia="zh-CN"/>
              </w:rPr>
              <w:t>10</w:t>
            </w:r>
            <w:r>
              <w:rPr>
                <w:rFonts w:hint="eastAsia" w:ascii="宋体" w:hAnsi="宋体" w:eastAsia="宋体" w:cs="Times New Roman"/>
                <w:color w:val="auto"/>
                <w:kern w:val="0"/>
                <w:highlight w:val="none"/>
                <w:lang w:val="en-US" w:eastAsia="zh-CN"/>
              </w:rPr>
              <w:t>分）</w:t>
            </w:r>
          </w:p>
        </w:tc>
        <w:tc>
          <w:tcPr>
            <w:tcW w:w="5493" w:type="dxa"/>
            <w:shd w:val="clear" w:color="auto" w:fill="auto"/>
            <w:noWrap w:val="0"/>
            <w:vAlign w:val="center"/>
          </w:tcPr>
          <w:p w14:paraId="214188CD">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策划方案对项目实施目的和意义理解准确，服务目标明确、主旨清晰。</w:t>
            </w:r>
          </w:p>
          <w:p w14:paraId="2293BB3D">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优得</w:t>
            </w:r>
            <w:r>
              <w:rPr>
                <w:rFonts w:hint="eastAsia" w:ascii="宋体" w:hAnsi="宋体" w:cs="Times New Roman"/>
                <w:color w:val="auto"/>
                <w:kern w:val="0"/>
                <w:highlight w:val="none"/>
                <w:lang w:val="en-US" w:eastAsia="zh-CN"/>
              </w:rPr>
              <w:t>9-10</w:t>
            </w:r>
            <w:r>
              <w:rPr>
                <w:rFonts w:hint="eastAsia" w:ascii="宋体" w:hAnsi="宋体" w:eastAsia="宋体" w:cs="Times New Roman"/>
                <w:color w:val="auto"/>
                <w:kern w:val="0"/>
                <w:highlight w:val="none"/>
                <w:lang w:val="en-US" w:eastAsia="zh-CN"/>
              </w:rPr>
              <w:t>分；良得8-</w:t>
            </w:r>
            <w:r>
              <w:rPr>
                <w:rFonts w:hint="eastAsia" w:ascii="宋体" w:hAnsi="宋体" w:cs="Times New Roman"/>
                <w:color w:val="auto"/>
                <w:kern w:val="0"/>
                <w:highlight w:val="none"/>
                <w:lang w:val="en-US" w:eastAsia="zh-CN"/>
              </w:rPr>
              <w:t>9</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；一般得</w:t>
            </w:r>
            <w:r>
              <w:rPr>
                <w:rFonts w:hint="eastAsia" w:ascii="宋体" w:hAnsi="宋体" w:cs="Times New Roman"/>
                <w:color w:val="auto"/>
                <w:kern w:val="0"/>
                <w:highlight w:val="none"/>
                <w:lang w:val="en-US" w:eastAsia="zh-CN"/>
              </w:rPr>
              <w:t>6</w:t>
            </w:r>
            <w:r>
              <w:rPr>
                <w:rFonts w:hint="eastAsia" w:ascii="宋体" w:hAnsi="宋体" w:eastAsia="宋体" w:cs="Times New Roman"/>
                <w:color w:val="auto"/>
                <w:kern w:val="0"/>
                <w:highlight w:val="none"/>
                <w:lang w:val="en-US" w:eastAsia="zh-CN"/>
              </w:rPr>
              <w:t>-</w:t>
            </w:r>
            <w:r>
              <w:rPr>
                <w:rFonts w:hint="eastAsia" w:ascii="宋体" w:hAnsi="宋体" w:cs="Times New Roman"/>
                <w:color w:val="auto"/>
                <w:kern w:val="0"/>
                <w:highlight w:val="none"/>
                <w:lang w:val="en-US" w:eastAsia="zh-CN"/>
              </w:rPr>
              <w:t>8</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；差得1-</w:t>
            </w:r>
            <w:r>
              <w:rPr>
                <w:rFonts w:hint="eastAsia" w:ascii="宋体" w:hAnsi="宋体" w:cs="Times New Roman"/>
                <w:color w:val="auto"/>
                <w:kern w:val="0"/>
                <w:highlight w:val="none"/>
                <w:lang w:val="en-US" w:eastAsia="zh-CN"/>
              </w:rPr>
              <w:t>6</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（分）</w:t>
            </w:r>
            <w:r>
              <w:rPr>
                <w:rFonts w:hint="eastAsia" w:ascii="宋体" w:hAnsi="宋体" w:eastAsia="宋体" w:cs="Times New Roman"/>
                <w:color w:val="auto"/>
                <w:kern w:val="0"/>
                <w:highlight w:val="none"/>
                <w:lang w:val="en-US" w:eastAsia="zh-CN"/>
              </w:rPr>
              <w:t>；未提供不得分。</w:t>
            </w:r>
          </w:p>
        </w:tc>
      </w:tr>
      <w:tr w14:paraId="1D26A4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2E4587D">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3097EB15">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520C1F46">
            <w:pPr>
              <w:tabs>
                <w:tab w:val="left" w:pos="1875"/>
              </w:tabs>
              <w:spacing w:line="400" w:lineRule="exact"/>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方案完整（</w:t>
            </w:r>
            <w:r>
              <w:rPr>
                <w:rFonts w:hint="eastAsia" w:ascii="宋体" w:hAnsi="宋体" w:cs="Times New Roman"/>
                <w:color w:val="auto"/>
                <w:kern w:val="0"/>
                <w:highlight w:val="none"/>
                <w:lang w:val="en-US" w:eastAsia="zh-CN"/>
              </w:rPr>
              <w:t>15</w:t>
            </w:r>
            <w:r>
              <w:rPr>
                <w:rFonts w:hint="eastAsia" w:ascii="宋体" w:hAnsi="宋体" w:eastAsia="宋体" w:cs="Times New Roman"/>
                <w:color w:val="auto"/>
                <w:kern w:val="0"/>
                <w:highlight w:val="none"/>
                <w:lang w:val="en-US" w:eastAsia="zh-CN"/>
              </w:rPr>
              <w:t>分）</w:t>
            </w:r>
          </w:p>
        </w:tc>
        <w:tc>
          <w:tcPr>
            <w:tcW w:w="5493" w:type="dxa"/>
            <w:shd w:val="clear" w:color="auto" w:fill="auto"/>
            <w:noWrap w:val="0"/>
            <w:vAlign w:val="center"/>
          </w:tcPr>
          <w:p w14:paraId="0444D73F">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策划方案应从目标出发，完整展示品牌策略，活动规划、执行计划等有助于落实成果要求的内容。</w:t>
            </w:r>
          </w:p>
          <w:p w14:paraId="56F8399A">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优得</w:t>
            </w:r>
            <w:r>
              <w:rPr>
                <w:rFonts w:hint="eastAsia" w:ascii="宋体" w:hAnsi="宋体" w:cs="Times New Roman"/>
                <w:color w:val="auto"/>
                <w:kern w:val="0"/>
                <w:highlight w:val="none"/>
                <w:lang w:val="en-US" w:eastAsia="zh-CN"/>
              </w:rPr>
              <w:t>13.5-15</w:t>
            </w:r>
            <w:r>
              <w:rPr>
                <w:rFonts w:hint="eastAsia" w:ascii="宋体" w:hAnsi="宋体" w:eastAsia="宋体" w:cs="Times New Roman"/>
                <w:color w:val="auto"/>
                <w:kern w:val="0"/>
                <w:highlight w:val="none"/>
                <w:lang w:val="en-US" w:eastAsia="zh-CN"/>
              </w:rPr>
              <w:t>分；良得1</w:t>
            </w:r>
            <w:r>
              <w:rPr>
                <w:rFonts w:hint="eastAsia" w:ascii="宋体" w:hAnsi="宋体" w:cs="Times New Roman"/>
                <w:color w:val="auto"/>
                <w:kern w:val="0"/>
                <w:highlight w:val="none"/>
                <w:lang w:val="en-US" w:eastAsia="zh-CN"/>
              </w:rPr>
              <w:t>2</w:t>
            </w:r>
            <w:r>
              <w:rPr>
                <w:rFonts w:hint="eastAsia" w:ascii="宋体" w:hAnsi="宋体" w:eastAsia="宋体" w:cs="Times New Roman"/>
                <w:color w:val="auto"/>
                <w:kern w:val="0"/>
                <w:highlight w:val="none"/>
                <w:lang w:val="en-US" w:eastAsia="zh-CN"/>
              </w:rPr>
              <w:t>-</w:t>
            </w:r>
            <w:r>
              <w:rPr>
                <w:rFonts w:hint="eastAsia" w:ascii="宋体" w:hAnsi="宋体" w:cs="Times New Roman"/>
                <w:color w:val="auto"/>
                <w:kern w:val="0"/>
                <w:highlight w:val="none"/>
                <w:lang w:val="en-US" w:eastAsia="zh-CN"/>
              </w:rPr>
              <w:t>13.5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；一般得</w:t>
            </w:r>
            <w:r>
              <w:rPr>
                <w:rFonts w:hint="eastAsia" w:ascii="宋体" w:hAnsi="宋体" w:cs="Times New Roman"/>
                <w:color w:val="auto"/>
                <w:kern w:val="0"/>
                <w:highlight w:val="none"/>
                <w:lang w:val="en-US" w:eastAsia="zh-CN"/>
              </w:rPr>
              <w:t>9-12</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；差得1-</w:t>
            </w:r>
            <w:r>
              <w:rPr>
                <w:rFonts w:hint="eastAsia" w:ascii="宋体" w:hAnsi="宋体" w:cs="Times New Roman"/>
                <w:color w:val="auto"/>
                <w:kern w:val="0"/>
                <w:highlight w:val="none"/>
                <w:lang w:val="en-US" w:eastAsia="zh-CN"/>
              </w:rPr>
              <w:t>9</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；未提供不得分。</w:t>
            </w:r>
          </w:p>
        </w:tc>
      </w:tr>
      <w:tr w14:paraId="1B06C8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3F0145E">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650B664E">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1429A135">
            <w:pPr>
              <w:tabs>
                <w:tab w:val="left" w:pos="1875"/>
              </w:tabs>
              <w:spacing w:line="400" w:lineRule="exact"/>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制作团队（</w:t>
            </w:r>
            <w:r>
              <w:rPr>
                <w:rFonts w:hint="eastAsia" w:ascii="宋体" w:hAnsi="宋体" w:cs="Times New Roman"/>
                <w:color w:val="auto"/>
                <w:kern w:val="0"/>
                <w:highlight w:val="none"/>
                <w:lang w:val="en-US" w:eastAsia="zh-CN"/>
              </w:rPr>
              <w:t>5分）</w:t>
            </w:r>
          </w:p>
        </w:tc>
        <w:tc>
          <w:tcPr>
            <w:tcW w:w="5493" w:type="dxa"/>
            <w:shd w:val="clear" w:color="auto" w:fill="auto"/>
            <w:noWrap w:val="0"/>
            <w:vAlign w:val="center"/>
          </w:tcPr>
          <w:p w14:paraId="6C203D34">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拟投入本项目制作团队人员分工合理，各司其职，项目统筹、策划、内容生产技术人员及驻点人员等，专业配置、数量配置科学高效。</w:t>
            </w:r>
          </w:p>
          <w:p w14:paraId="35281631">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优得</w:t>
            </w:r>
            <w:r>
              <w:rPr>
                <w:rFonts w:hint="eastAsia" w:ascii="宋体" w:hAnsi="宋体" w:cs="Times New Roman"/>
                <w:color w:val="auto"/>
                <w:kern w:val="0"/>
                <w:highlight w:val="none"/>
                <w:lang w:val="en-US" w:eastAsia="zh-CN"/>
              </w:rPr>
              <w:t>4.5-5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；良得</w:t>
            </w:r>
            <w:r>
              <w:rPr>
                <w:rFonts w:hint="eastAsia" w:ascii="宋体" w:hAnsi="宋体" w:cs="Times New Roman"/>
                <w:color w:val="auto"/>
                <w:kern w:val="0"/>
                <w:highlight w:val="none"/>
                <w:lang w:val="en-US" w:eastAsia="zh-CN"/>
              </w:rPr>
              <w:t>4-4.5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；一般得</w:t>
            </w:r>
            <w:r>
              <w:rPr>
                <w:rFonts w:hint="eastAsia" w:ascii="宋体" w:hAnsi="宋体" w:cs="Times New Roman"/>
                <w:color w:val="auto"/>
                <w:kern w:val="0"/>
                <w:highlight w:val="none"/>
                <w:lang w:val="en-US" w:eastAsia="zh-CN"/>
              </w:rPr>
              <w:t>3-4</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；差得1-3分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；未提供不得分。</w:t>
            </w:r>
          </w:p>
        </w:tc>
      </w:tr>
      <w:tr w14:paraId="3F5C3F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shd w:val="clear" w:color="auto" w:fill="auto"/>
            <w:noWrap w:val="0"/>
            <w:vAlign w:val="top"/>
          </w:tcPr>
          <w:p w14:paraId="6BC15FF0">
            <w:pPr>
              <w:snapToGrid w:val="0"/>
              <w:spacing w:line="400" w:lineRule="exact"/>
              <w:rPr>
                <w:rFonts w:ascii="宋体" w:hAnsi="宋体" w:eastAsia="宋体" w:cs="Times New Roman"/>
                <w:color w:val="auto"/>
                <w:kern w:val="2"/>
                <w:sz w:val="21"/>
                <w:szCs w:val="24"/>
                <w:highlight w:val="none"/>
                <w:lang w:val="en-US" w:eastAsia="zh-CN" w:bidi="ar-SA"/>
              </w:rPr>
            </w:pPr>
            <w:r>
              <w:rPr>
                <w:rFonts w:ascii="宋体" w:hAnsi="宋体" w:eastAsia="宋体" w:cs="Times New Roman"/>
                <w:color w:val="auto"/>
                <w:kern w:val="0"/>
                <w:szCs w:val="21"/>
                <w:highlight w:val="none"/>
              </w:rPr>
              <w:t>2.2.4</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p>
        </w:tc>
        <w:tc>
          <w:tcPr>
            <w:tcW w:w="666" w:type="dxa"/>
            <w:shd w:val="clear" w:color="auto" w:fill="auto"/>
            <w:noWrap w:val="0"/>
            <w:vAlign w:val="top"/>
          </w:tcPr>
          <w:p w14:paraId="62B79423">
            <w:pPr>
              <w:snapToGrid w:val="0"/>
              <w:spacing w:line="400" w:lineRule="exact"/>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商务部分评审标准</w:t>
            </w:r>
          </w:p>
        </w:tc>
        <w:tc>
          <w:tcPr>
            <w:tcW w:w="2558" w:type="dxa"/>
            <w:gridSpan w:val="3"/>
            <w:shd w:val="clear" w:color="auto" w:fill="auto"/>
            <w:noWrap w:val="0"/>
            <w:vAlign w:val="center"/>
          </w:tcPr>
          <w:p w14:paraId="376F578A">
            <w:pPr>
              <w:tabs>
                <w:tab w:val="left" w:pos="1875"/>
              </w:tabs>
              <w:spacing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业绩（</w:t>
            </w:r>
            <w:r>
              <w:rPr>
                <w:rFonts w:hint="eastAsia" w:ascii="宋体" w:hAnsi="宋体" w:cs="Times New Roman"/>
                <w:color w:val="auto"/>
                <w:kern w:val="0"/>
                <w:highlight w:val="none"/>
                <w:lang w:val="en-US" w:eastAsia="zh-CN"/>
              </w:rPr>
              <w:t>20</w:t>
            </w:r>
            <w:r>
              <w:rPr>
                <w:rFonts w:hint="eastAsia" w:ascii="宋体" w:hAnsi="宋体" w:eastAsia="宋体" w:cs="Times New Roman"/>
                <w:color w:val="auto"/>
                <w:kern w:val="0"/>
                <w:highlight w:val="none"/>
                <w:lang w:val="en-US" w:eastAsia="zh-CN"/>
              </w:rPr>
              <w:t>分）</w:t>
            </w:r>
          </w:p>
        </w:tc>
        <w:tc>
          <w:tcPr>
            <w:tcW w:w="5493" w:type="dxa"/>
            <w:shd w:val="clear" w:color="auto" w:fill="auto"/>
            <w:noWrap w:val="0"/>
            <w:vAlign w:val="center"/>
          </w:tcPr>
          <w:p w14:paraId="5B8CD321">
            <w:pPr>
              <w:tabs>
                <w:tab w:val="left" w:pos="1875"/>
              </w:tabs>
              <w:spacing w:line="400" w:lineRule="exact"/>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2022年1月1日至今（以合同签订服务时间为准），竞标人具有类似项目业绩</w:t>
            </w:r>
            <w:r>
              <w:rPr>
                <w:rFonts w:hint="eastAsia" w:ascii="宋体" w:hAnsi="宋体" w:cs="Times New Roman"/>
                <w:color w:val="auto"/>
                <w:kern w:val="0"/>
                <w:highlight w:val="none"/>
                <w:lang w:val="en-US" w:eastAsia="zh-CN"/>
              </w:rPr>
              <w:t>（房屋建筑品牌设计或营销服务）</w:t>
            </w:r>
            <w:r>
              <w:rPr>
                <w:rFonts w:hint="eastAsia" w:ascii="宋体" w:hAnsi="宋体" w:eastAsia="宋体" w:cs="Times New Roman"/>
                <w:color w:val="auto"/>
                <w:kern w:val="0"/>
                <w:highlight w:val="none"/>
                <w:lang w:val="en-US" w:eastAsia="zh-CN"/>
              </w:rPr>
              <w:t>的每提供一个得</w:t>
            </w:r>
            <w:r>
              <w:rPr>
                <w:rFonts w:hint="eastAsia" w:ascii="宋体" w:hAnsi="宋体" w:cs="Times New Roman"/>
                <w:color w:val="auto"/>
                <w:kern w:val="0"/>
                <w:highlight w:val="none"/>
                <w:lang w:val="en-US" w:eastAsia="zh-CN"/>
              </w:rPr>
              <w:t>5</w:t>
            </w:r>
            <w:r>
              <w:rPr>
                <w:rFonts w:hint="eastAsia" w:ascii="宋体" w:hAnsi="宋体" w:eastAsia="宋体" w:cs="Times New Roman"/>
                <w:color w:val="auto"/>
                <w:kern w:val="0"/>
                <w:highlight w:val="none"/>
                <w:lang w:val="en-US" w:eastAsia="zh-CN"/>
              </w:rPr>
              <w:t>分；</w:t>
            </w:r>
            <w:r>
              <w:rPr>
                <w:rFonts w:hint="eastAsia" w:ascii="宋体" w:hAnsi="宋体" w:eastAsia="宋体" w:cs="Times New Roman"/>
                <w:color w:val="auto"/>
                <w:kern w:val="0"/>
                <w:highlight w:val="none"/>
                <w:lang w:val="zh-TW" w:eastAsia="zh-CN"/>
              </w:rPr>
              <w:t>本项最多得</w:t>
            </w:r>
            <w:r>
              <w:rPr>
                <w:rFonts w:hint="eastAsia" w:ascii="宋体" w:hAnsi="宋体" w:cs="Times New Roman"/>
                <w:color w:val="auto"/>
                <w:kern w:val="0"/>
                <w:highlight w:val="none"/>
                <w:lang w:val="en-US" w:eastAsia="zh-CN"/>
              </w:rPr>
              <w:t>2</w:t>
            </w:r>
            <w:r>
              <w:rPr>
                <w:rFonts w:hint="eastAsia" w:ascii="宋体" w:hAnsi="宋体" w:eastAsia="宋体" w:cs="Times New Roman"/>
                <w:color w:val="auto"/>
                <w:kern w:val="0"/>
                <w:highlight w:val="none"/>
                <w:lang w:val="en-US" w:eastAsia="zh-CN"/>
              </w:rPr>
              <w:t>0分。</w:t>
            </w:r>
          </w:p>
          <w:p w14:paraId="0285D6A6">
            <w:pPr>
              <w:tabs>
                <w:tab w:val="left" w:pos="1875"/>
              </w:tabs>
              <w:spacing w:line="400" w:lineRule="exact"/>
              <w:ind w:firstLine="420" w:firstLineChars="200"/>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highlight w:val="none"/>
                <w:lang w:val="en-US" w:eastAsia="zh-CN"/>
              </w:rPr>
              <w:t>注：提供合同（协议）复印件并加盖供应商公章。</w:t>
            </w:r>
          </w:p>
        </w:tc>
      </w:tr>
      <w:tr w14:paraId="34EC5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noWrap w:val="0"/>
            <w:vAlign w:val="center"/>
          </w:tcPr>
          <w:p w14:paraId="6123CEE8">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3</w:t>
            </w:r>
          </w:p>
        </w:tc>
        <w:tc>
          <w:tcPr>
            <w:tcW w:w="1375" w:type="dxa"/>
            <w:gridSpan w:val="2"/>
            <w:noWrap w:val="0"/>
            <w:vAlign w:val="center"/>
          </w:tcPr>
          <w:p w14:paraId="2F837C62">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评标程序</w:t>
            </w:r>
          </w:p>
        </w:tc>
        <w:tc>
          <w:tcPr>
            <w:tcW w:w="7342" w:type="dxa"/>
            <w:gridSpan w:val="3"/>
            <w:noWrap w:val="0"/>
            <w:vAlign w:val="top"/>
          </w:tcPr>
          <w:p w14:paraId="6708C67B">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1.按本章评标办法第3.1款进行初步评审。</w:t>
            </w:r>
          </w:p>
          <w:p w14:paraId="0F5A64CD">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2.按本章评标办法前附表2.2.4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及3.2.1（1）项的规定对技术方案进行</w:t>
            </w:r>
            <w:r>
              <w:rPr>
                <w:rFonts w:hint="eastAsia" w:ascii="宋体" w:hAnsi="宋体" w:cs="Times New Roman"/>
                <w:color w:val="auto"/>
                <w:szCs w:val="21"/>
                <w:highlight w:val="none"/>
                <w:lang w:eastAsia="zh-CN"/>
              </w:rPr>
              <w:t>明</w:t>
            </w:r>
            <w:r>
              <w:rPr>
                <w:rFonts w:hint="eastAsia" w:ascii="宋体" w:hAnsi="宋体" w:eastAsia="宋体" w:cs="Times New Roman"/>
                <w:color w:val="auto"/>
                <w:szCs w:val="21"/>
                <w:highlight w:val="none"/>
              </w:rPr>
              <w:t>标评审。</w:t>
            </w:r>
          </w:p>
          <w:p w14:paraId="05151924">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3.按本章评标办法前附表第2.2.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（2）目及第3.2.1（2）目的规定对商务部分进行评审。</w:t>
            </w:r>
          </w:p>
          <w:p w14:paraId="2208797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对初步评审合格的</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人按照本章2.2.2项计算方法计算评标基准价，并按本附表3.2.1（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）规定的评分方法对投标总报价进行评分。</w:t>
            </w:r>
          </w:p>
          <w:p w14:paraId="7D3DF93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.对技术方案、</w:t>
            </w:r>
            <w:r>
              <w:rPr>
                <w:rFonts w:hint="eastAsia" w:ascii="宋体" w:hAnsi="宋体" w:eastAsia="宋体" w:cs="Times New Roman"/>
                <w:color w:val="auto"/>
                <w:szCs w:val="21"/>
                <w:highlight w:val="none"/>
                <w:lang w:val="en-US" w:eastAsia="zh-CN"/>
              </w:rPr>
              <w:t>商务部分、</w:t>
            </w:r>
            <w:r>
              <w:rPr>
                <w:rFonts w:hint="eastAsia" w:ascii="宋体" w:hAnsi="宋体" w:eastAsia="宋体" w:cs="Times New Roman"/>
                <w:color w:val="auto"/>
                <w:szCs w:val="21"/>
                <w:highlight w:val="none"/>
              </w:rPr>
              <w:t>投标总报价得分进行汇总，确定得分由高至低前三名</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人为中标候选人。</w:t>
            </w:r>
          </w:p>
          <w:p w14:paraId="39AAFAC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5.因</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作否决投标处理导致有效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人不足三个的，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应当否决所有投标。但是有效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人的经济、技术等指标仍然具有市场竞争力，能够满足招标文件要求的，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可以继续评标并确定中标候选人。</w:t>
            </w:r>
          </w:p>
        </w:tc>
      </w:tr>
      <w:tr w14:paraId="59E72E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752" w:type="dxa"/>
            <w:vMerge w:val="restart"/>
            <w:noWrap w:val="0"/>
            <w:vAlign w:val="center"/>
          </w:tcPr>
          <w:p w14:paraId="3DA6FD60">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p>
          <w:p w14:paraId="53AD6289">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w:t>
            </w:r>
            <w:r>
              <w:rPr>
                <w:rFonts w:hint="eastAsia" w:ascii="宋体" w:hAnsi="宋体" w:eastAsia="宋体" w:cs="Times New Roman"/>
                <w:color w:val="auto"/>
                <w:highlight w:val="none"/>
              </w:rPr>
              <w:t>1</w:t>
            </w:r>
            <w:r>
              <w:rPr>
                <w:rFonts w:ascii="宋体" w:hAnsi="宋体" w:eastAsia="宋体" w:cs="Times New Roman"/>
                <w:color w:val="auto"/>
                <w:highlight w:val="none"/>
              </w:rPr>
              <w:t>）</w:t>
            </w:r>
          </w:p>
        </w:tc>
        <w:tc>
          <w:tcPr>
            <w:tcW w:w="1375" w:type="dxa"/>
            <w:gridSpan w:val="2"/>
            <w:vMerge w:val="restart"/>
            <w:shd w:val="clear" w:color="auto" w:fill="auto"/>
            <w:noWrap w:val="0"/>
            <w:vAlign w:val="center"/>
          </w:tcPr>
          <w:p w14:paraId="57CFD8FF">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技术方案</w:t>
            </w:r>
            <w:r>
              <w:rPr>
                <w:rFonts w:ascii="宋体" w:hAnsi="宋体" w:eastAsia="宋体" w:cs="Times New Roman"/>
                <w:color w:val="auto"/>
                <w:kern w:val="0"/>
                <w:highlight w:val="none"/>
              </w:rPr>
              <w:t>得分</w:t>
            </w:r>
            <w:r>
              <w:rPr>
                <w:rFonts w:ascii="宋体" w:hAnsi="宋体" w:eastAsia="宋体" w:cs="Times New Roman"/>
                <w:color w:val="auto"/>
                <w:spacing w:val="-4"/>
                <w:highlight w:val="none"/>
              </w:rPr>
              <w:t>（</w:t>
            </w:r>
            <w:r>
              <w:rPr>
                <w:rFonts w:hint="eastAsia" w:ascii="宋体" w:hAnsi="宋体" w:eastAsia="宋体" w:cs="Times New Roman"/>
                <w:color w:val="auto"/>
                <w:spacing w:val="-4"/>
                <w:highlight w:val="none"/>
              </w:rPr>
              <w:t>A）</w:t>
            </w:r>
          </w:p>
        </w:tc>
        <w:tc>
          <w:tcPr>
            <w:tcW w:w="1849" w:type="dxa"/>
            <w:gridSpan w:val="2"/>
            <w:tcBorders>
              <w:bottom w:val="single" w:color="auto" w:sz="4" w:space="0"/>
            </w:tcBorders>
            <w:shd w:val="clear" w:color="auto" w:fill="auto"/>
            <w:noWrap w:val="0"/>
            <w:vAlign w:val="center"/>
          </w:tcPr>
          <w:p w14:paraId="0F403BC5">
            <w:pPr>
              <w:tabs>
                <w:tab w:val="left" w:pos="1875"/>
              </w:tabs>
              <w:spacing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服务目标</w:t>
            </w:r>
          </w:p>
        </w:tc>
        <w:tc>
          <w:tcPr>
            <w:tcW w:w="5493" w:type="dxa"/>
            <w:vMerge w:val="restart"/>
            <w:shd w:val="clear" w:color="auto" w:fill="auto"/>
            <w:noWrap w:val="0"/>
            <w:vAlign w:val="center"/>
          </w:tcPr>
          <w:p w14:paraId="115F48C8">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按2.2.4（</w:t>
            </w: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）项各评审因素设定的分值评分。</w:t>
            </w:r>
          </w:p>
          <w:p w14:paraId="53CAE846">
            <w:pPr>
              <w:spacing w:line="400" w:lineRule="exact"/>
              <w:ind w:firstLine="420" w:firstLineChars="200"/>
              <w:rPr>
                <w:rFonts w:ascii="宋体" w:hAnsi="宋体" w:eastAsia="宋体" w:cs="Times New Roman"/>
                <w:snapToGrid w:val="0"/>
                <w:color w:val="auto"/>
                <w:kern w:val="0"/>
                <w:szCs w:val="21"/>
                <w:highlight w:val="none"/>
              </w:rPr>
            </w:pPr>
            <w:r>
              <w:rPr>
                <w:rFonts w:ascii="宋体" w:hAnsi="宋体" w:eastAsia="宋体" w:cs="Times New Roman"/>
                <w:snapToGrid w:val="0"/>
                <w:color w:val="auto"/>
                <w:kern w:val="0"/>
                <w:szCs w:val="21"/>
                <w:highlight w:val="none"/>
              </w:rPr>
              <w:t>招标文件中设有</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评审的，</w:t>
            </w:r>
            <w:r>
              <w:rPr>
                <w:rFonts w:hint="eastAsia" w:ascii="宋体" w:hAnsi="宋体" w:eastAsia="宋体" w:cs="Times New Roman"/>
                <w:snapToGrid w:val="0"/>
                <w:color w:val="auto"/>
                <w:kern w:val="0"/>
                <w:szCs w:val="21"/>
                <w:highlight w:val="none"/>
                <w:lang w:eastAsia="zh-CN"/>
              </w:rPr>
              <w:t>评审小组</w:t>
            </w:r>
            <w:r>
              <w:rPr>
                <w:rFonts w:ascii="宋体" w:hAnsi="宋体" w:eastAsia="宋体" w:cs="Times New Roman"/>
                <w:snapToGrid w:val="0"/>
                <w:color w:val="auto"/>
                <w:kern w:val="0"/>
                <w:szCs w:val="21"/>
                <w:highlight w:val="none"/>
              </w:rPr>
              <w:t>全体成员对</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进行评审，评委打分取算术平均值为该</w:t>
            </w:r>
            <w:r>
              <w:rPr>
                <w:rFonts w:hint="eastAsia" w:ascii="宋体" w:hAnsi="宋体" w:eastAsia="宋体" w:cs="Times New Roman"/>
                <w:snapToGrid w:val="0"/>
                <w:color w:val="auto"/>
                <w:kern w:val="0"/>
                <w:szCs w:val="21"/>
                <w:highlight w:val="none"/>
                <w:lang w:eastAsia="zh-CN"/>
              </w:rPr>
              <w:t>竞标</w:t>
            </w:r>
            <w:r>
              <w:rPr>
                <w:rFonts w:ascii="宋体" w:hAnsi="宋体" w:eastAsia="宋体" w:cs="Times New Roman"/>
                <w:snapToGrid w:val="0"/>
                <w:color w:val="auto"/>
                <w:kern w:val="0"/>
                <w:szCs w:val="21"/>
                <w:highlight w:val="none"/>
              </w:rPr>
              <w:t>人技术方案得分。</w:t>
            </w:r>
          </w:p>
          <w:p w14:paraId="72E90BA9">
            <w:pPr>
              <w:spacing w:line="400" w:lineRule="exact"/>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以上计算取小数点后两位，第三位四舍五入。</w:t>
            </w:r>
          </w:p>
        </w:tc>
      </w:tr>
      <w:tr w14:paraId="4C5FD1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52" w:type="dxa"/>
            <w:vMerge w:val="continue"/>
            <w:noWrap w:val="0"/>
            <w:vAlign w:val="center"/>
          </w:tcPr>
          <w:p w14:paraId="599983C7">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1E79C570">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680F97BA">
            <w:pPr>
              <w:tabs>
                <w:tab w:val="left" w:pos="1875"/>
              </w:tabs>
              <w:spacing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方案完整</w:t>
            </w:r>
          </w:p>
        </w:tc>
        <w:tc>
          <w:tcPr>
            <w:tcW w:w="5493" w:type="dxa"/>
            <w:vMerge w:val="continue"/>
            <w:shd w:val="clear" w:color="auto" w:fill="auto"/>
            <w:noWrap w:val="0"/>
            <w:vAlign w:val="center"/>
          </w:tcPr>
          <w:p w14:paraId="52C3FF2A">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3206C5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52" w:type="dxa"/>
            <w:vMerge w:val="continue"/>
            <w:noWrap w:val="0"/>
            <w:vAlign w:val="center"/>
          </w:tcPr>
          <w:p w14:paraId="18B86A79">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32E6C2C1">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6B5167B0">
            <w:pPr>
              <w:tabs>
                <w:tab w:val="left" w:pos="1875"/>
              </w:tabs>
              <w:spacing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制作团队</w:t>
            </w:r>
          </w:p>
        </w:tc>
        <w:tc>
          <w:tcPr>
            <w:tcW w:w="5493" w:type="dxa"/>
            <w:vMerge w:val="continue"/>
            <w:shd w:val="clear" w:color="auto" w:fill="auto"/>
            <w:noWrap w:val="0"/>
            <w:vAlign w:val="center"/>
          </w:tcPr>
          <w:p w14:paraId="0D166CA9">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43F8A9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noWrap w:val="0"/>
            <w:vAlign w:val="center"/>
          </w:tcPr>
          <w:p w14:paraId="15E877EF">
            <w:pPr>
              <w:spacing w:line="400" w:lineRule="exact"/>
              <w:jc w:val="center"/>
              <w:rPr>
                <w:rFonts w:ascii="宋体" w:hAnsi="宋体" w:eastAsia="宋体" w:cs="Times New Roman"/>
                <w:color w:val="auto"/>
                <w:kern w:val="2"/>
                <w:sz w:val="21"/>
                <w:szCs w:val="24"/>
                <w:highlight w:val="none"/>
                <w:lang w:val="en-US" w:eastAsia="zh-CN" w:bidi="ar-SA"/>
              </w:rPr>
            </w:pPr>
            <w:r>
              <w:rPr>
                <w:rFonts w:ascii="宋体" w:hAnsi="宋体" w:eastAsia="宋体" w:cs="Times New Roman"/>
                <w:color w:val="auto"/>
                <w:highlight w:val="none"/>
              </w:rPr>
              <w:t>3.2.1（</w:t>
            </w:r>
            <w:r>
              <w:rPr>
                <w:rFonts w:hint="eastAsia" w:ascii="宋体" w:hAnsi="宋体" w:eastAsia="宋体" w:cs="Times New Roman"/>
                <w:color w:val="auto"/>
                <w:highlight w:val="none"/>
              </w:rPr>
              <w:t>2</w:t>
            </w:r>
            <w:r>
              <w:rPr>
                <w:rFonts w:ascii="宋体" w:hAnsi="宋体" w:eastAsia="宋体" w:cs="Times New Roman"/>
                <w:color w:val="auto"/>
                <w:highlight w:val="none"/>
              </w:rPr>
              <w:t>）</w:t>
            </w:r>
          </w:p>
        </w:tc>
        <w:tc>
          <w:tcPr>
            <w:tcW w:w="1375" w:type="dxa"/>
            <w:gridSpan w:val="2"/>
            <w:shd w:val="clear" w:color="auto" w:fill="auto"/>
            <w:noWrap w:val="0"/>
            <w:vAlign w:val="center"/>
          </w:tcPr>
          <w:p w14:paraId="306FD265">
            <w:pPr>
              <w:spacing w:line="40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商务部分得分（B）</w:t>
            </w:r>
          </w:p>
        </w:tc>
        <w:tc>
          <w:tcPr>
            <w:tcW w:w="1849" w:type="dxa"/>
            <w:gridSpan w:val="2"/>
            <w:shd w:val="clear" w:color="auto" w:fill="auto"/>
            <w:noWrap w:val="0"/>
            <w:vAlign w:val="center"/>
          </w:tcPr>
          <w:p w14:paraId="4A7B10CA">
            <w:pPr>
              <w:spacing w:line="40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业绩</w:t>
            </w:r>
          </w:p>
        </w:tc>
        <w:tc>
          <w:tcPr>
            <w:tcW w:w="5493" w:type="dxa"/>
            <w:shd w:val="clear" w:color="auto" w:fill="auto"/>
            <w:noWrap w:val="0"/>
            <w:vAlign w:val="center"/>
          </w:tcPr>
          <w:p w14:paraId="72F594DA">
            <w:pPr>
              <w:spacing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szCs w:val="21"/>
                <w:highlight w:val="none"/>
              </w:rPr>
              <w:t>商务</w:t>
            </w:r>
            <w:r>
              <w:rPr>
                <w:rFonts w:ascii="宋体" w:hAnsi="宋体" w:eastAsia="宋体" w:cs="Times New Roman"/>
                <w:color w:val="auto"/>
                <w:szCs w:val="21"/>
                <w:highlight w:val="none"/>
              </w:rPr>
              <w:t>部分</w:t>
            </w:r>
            <w:r>
              <w:rPr>
                <w:rFonts w:hint="eastAsia" w:ascii="宋体" w:hAnsi="宋体" w:eastAsia="宋体" w:cs="Times New Roman"/>
                <w:color w:val="auto"/>
                <w:szCs w:val="21"/>
                <w:highlight w:val="none"/>
              </w:rPr>
              <w:t>评分为客观评分，</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按第2.2.4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项</w:t>
            </w:r>
            <w:r>
              <w:rPr>
                <w:rFonts w:ascii="宋体" w:hAnsi="宋体" w:eastAsia="宋体" w:cs="Times New Roman"/>
                <w:color w:val="auto"/>
                <w:szCs w:val="21"/>
                <w:highlight w:val="none"/>
              </w:rPr>
              <w:t>各评审因素设定的分值</w:t>
            </w:r>
            <w:r>
              <w:rPr>
                <w:rFonts w:hint="eastAsia" w:ascii="宋体" w:hAnsi="宋体" w:eastAsia="宋体" w:cs="Times New Roman"/>
                <w:color w:val="auto"/>
                <w:szCs w:val="21"/>
                <w:highlight w:val="none"/>
              </w:rPr>
              <w:t>统一进行</w:t>
            </w:r>
            <w:r>
              <w:rPr>
                <w:rFonts w:ascii="宋体" w:hAnsi="宋体" w:eastAsia="宋体" w:cs="Times New Roman"/>
                <w:color w:val="auto"/>
                <w:szCs w:val="21"/>
                <w:highlight w:val="none"/>
              </w:rPr>
              <w:t>评分。</w:t>
            </w:r>
            <w:r>
              <w:rPr>
                <w:rFonts w:hint="eastAsia" w:ascii="宋体" w:hAnsi="宋体" w:eastAsia="宋体" w:cs="Times New Roman"/>
                <w:color w:val="auto"/>
                <w:szCs w:val="21"/>
                <w:highlight w:val="none"/>
              </w:rPr>
              <w:t>商务评分的最终结果</w:t>
            </w:r>
            <w:r>
              <w:rPr>
                <w:rFonts w:ascii="宋体" w:hAnsi="宋体" w:eastAsia="宋体" w:cs="Times New Roman"/>
                <w:color w:val="auto"/>
                <w:szCs w:val="21"/>
                <w:highlight w:val="none"/>
              </w:rPr>
              <w:t>取小数点后两位，第三位四舍五入。</w:t>
            </w:r>
          </w:p>
        </w:tc>
      </w:tr>
      <w:tr w14:paraId="59C629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noWrap w:val="0"/>
            <w:vAlign w:val="center"/>
          </w:tcPr>
          <w:p w14:paraId="25037C23">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r>
              <w:rPr>
                <w:rFonts w:hint="eastAsia" w:ascii="宋体" w:hAnsi="宋体" w:cs="Times New Roman"/>
                <w:color w:val="auto"/>
                <w:highlight w:val="none"/>
                <w:lang w:val="en-US" w:eastAsia="zh-CN"/>
              </w:rPr>
              <w:t>3</w:t>
            </w:r>
            <w:r>
              <w:rPr>
                <w:rFonts w:ascii="宋体" w:hAnsi="宋体" w:eastAsia="宋体" w:cs="Times New Roman"/>
                <w:color w:val="auto"/>
                <w:highlight w:val="none"/>
              </w:rPr>
              <w:t>）</w:t>
            </w:r>
          </w:p>
        </w:tc>
        <w:tc>
          <w:tcPr>
            <w:tcW w:w="1375" w:type="dxa"/>
            <w:gridSpan w:val="2"/>
            <w:shd w:val="clear" w:color="auto" w:fill="auto"/>
            <w:noWrap w:val="0"/>
            <w:vAlign w:val="center"/>
          </w:tcPr>
          <w:p w14:paraId="3B25E01E">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lang w:eastAsia="zh-CN"/>
              </w:rPr>
              <w:t>竞标报价</w:t>
            </w:r>
            <w:r>
              <w:rPr>
                <w:rFonts w:ascii="宋体" w:hAnsi="宋体" w:eastAsia="宋体" w:cs="Times New Roman"/>
                <w:color w:val="auto"/>
                <w:kern w:val="0"/>
                <w:highlight w:val="none"/>
              </w:rPr>
              <w:t>得分</w:t>
            </w:r>
            <w:r>
              <w:rPr>
                <w:rFonts w:ascii="宋体" w:hAnsi="宋体" w:eastAsia="宋体" w:cs="Times New Roman"/>
                <w:color w:val="auto"/>
                <w:spacing w:val="-8"/>
                <w:highlight w:val="none"/>
              </w:rPr>
              <w:t>（</w:t>
            </w:r>
            <w:r>
              <w:rPr>
                <w:rFonts w:hint="eastAsia" w:ascii="宋体" w:hAnsi="宋体" w:cs="Times New Roman"/>
                <w:color w:val="auto"/>
                <w:spacing w:val="-8"/>
                <w:highlight w:val="none"/>
                <w:lang w:val="en-US" w:eastAsia="zh-CN"/>
              </w:rPr>
              <w:t>C</w:t>
            </w:r>
            <w:r>
              <w:rPr>
                <w:rFonts w:ascii="宋体" w:hAnsi="宋体" w:eastAsia="宋体" w:cs="Times New Roman"/>
                <w:color w:val="auto"/>
                <w:spacing w:val="-8"/>
                <w:highlight w:val="none"/>
              </w:rPr>
              <w:t>）</w:t>
            </w:r>
          </w:p>
        </w:tc>
        <w:tc>
          <w:tcPr>
            <w:tcW w:w="1849" w:type="dxa"/>
            <w:gridSpan w:val="2"/>
            <w:shd w:val="clear" w:color="auto" w:fill="auto"/>
            <w:noWrap w:val="0"/>
            <w:vAlign w:val="center"/>
          </w:tcPr>
          <w:p w14:paraId="51C8AE52">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投标总报价</w:t>
            </w:r>
          </w:p>
        </w:tc>
        <w:tc>
          <w:tcPr>
            <w:tcW w:w="5493" w:type="dxa"/>
            <w:shd w:val="clear" w:color="auto" w:fill="auto"/>
            <w:noWrap w:val="0"/>
            <w:vAlign w:val="center"/>
          </w:tcPr>
          <w:p w14:paraId="0D5C565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设置</w:t>
            </w:r>
            <w:r>
              <w:rPr>
                <w:rFonts w:ascii="宋体" w:hAnsi="宋体" w:eastAsia="宋体" w:cs="Times New Roman"/>
                <w:color w:val="auto"/>
                <w:szCs w:val="21"/>
                <w:highlight w:val="none"/>
              </w:rPr>
              <w:t>允许偏差范围</w:t>
            </w:r>
            <w:r>
              <w:rPr>
                <w:rFonts w:hint="eastAsia" w:ascii="宋体" w:hAnsi="宋体" w:eastAsia="宋体" w:cs="Times New Roman"/>
                <w:color w:val="auto"/>
                <w:szCs w:val="21"/>
                <w:highlight w:val="none"/>
              </w:rPr>
              <w:t>的，</w:t>
            </w:r>
            <w:r>
              <w:rPr>
                <w:rFonts w:ascii="宋体" w:hAnsi="宋体" w:eastAsia="宋体" w:cs="Times New Roman"/>
                <w:color w:val="auto"/>
                <w:kern w:val="0"/>
                <w:highlight w:val="none"/>
              </w:rPr>
              <w:t>投标总报价的偏差在</w:t>
            </w:r>
            <w:r>
              <w:rPr>
                <w:rFonts w:ascii="宋体" w:hAnsi="宋体" w:eastAsia="宋体" w:cs="Times New Roman"/>
                <w:color w:val="auto"/>
                <w:szCs w:val="21"/>
                <w:highlight w:val="none"/>
              </w:rPr>
              <w:t>允许偏差范围外，</w:t>
            </w:r>
            <w:r>
              <w:rPr>
                <w:rFonts w:ascii="宋体" w:hAnsi="宋体" w:eastAsia="宋体" w:cs="Times New Roman"/>
                <w:bCs/>
                <w:color w:val="auto"/>
                <w:szCs w:val="28"/>
                <w:highlight w:val="none"/>
              </w:rPr>
              <w:t>得零分</w:t>
            </w:r>
            <w:r>
              <w:rPr>
                <w:rFonts w:ascii="宋体" w:hAnsi="宋体" w:eastAsia="宋体" w:cs="Times New Roman"/>
                <w:color w:val="auto"/>
                <w:kern w:val="0"/>
                <w:highlight w:val="none"/>
              </w:rPr>
              <w:t>；</w:t>
            </w:r>
            <w:r>
              <w:rPr>
                <w:rFonts w:hint="eastAsia" w:ascii="宋体" w:hAnsi="宋体" w:eastAsia="宋体" w:cs="Times New Roman"/>
                <w:color w:val="auto"/>
                <w:kern w:val="0"/>
                <w:highlight w:val="none"/>
              </w:rPr>
              <w:t>不设置允许偏差范围或</w:t>
            </w:r>
            <w:r>
              <w:rPr>
                <w:rFonts w:ascii="宋体" w:hAnsi="宋体" w:eastAsia="宋体" w:cs="Times New Roman"/>
                <w:color w:val="auto"/>
                <w:szCs w:val="21"/>
                <w:highlight w:val="none"/>
              </w:rPr>
              <w:t>投标总报价偏差在允许范围内的（含上、下限值），得</w:t>
            </w:r>
            <w:r>
              <w:rPr>
                <w:rFonts w:ascii="宋体" w:hAnsi="宋体" w:eastAsia="宋体" w:cs="Times New Roman"/>
                <w:bCs/>
                <w:color w:val="auto"/>
                <w:szCs w:val="28"/>
                <w:highlight w:val="none"/>
              </w:rPr>
              <w:t>本附表第2.2.1项规定分值的满分</w:t>
            </w:r>
            <w:r>
              <w:rPr>
                <w:rFonts w:ascii="宋体" w:hAnsi="宋体" w:eastAsia="宋体" w:cs="Times New Roman"/>
                <w:bCs/>
                <w:color w:val="auto"/>
                <w:szCs w:val="28"/>
                <w:highlight w:val="none"/>
                <w:u w:val="single"/>
              </w:rPr>
              <w:t xml:space="preserve"> </w:t>
            </w:r>
            <w:r>
              <w:rPr>
                <w:rFonts w:hint="eastAsia" w:ascii="宋体" w:hAnsi="宋体" w:cs="Times New Roman"/>
                <w:bCs/>
                <w:color w:val="auto"/>
                <w:szCs w:val="28"/>
                <w:highlight w:val="none"/>
                <w:u w:val="single"/>
                <w:lang w:val="en-US" w:eastAsia="zh-CN"/>
              </w:rPr>
              <w:t>50</w:t>
            </w:r>
            <w:r>
              <w:rPr>
                <w:rFonts w:ascii="宋体" w:hAnsi="宋体" w:eastAsia="宋体" w:cs="Times New Roman"/>
                <w:color w:val="auto"/>
                <w:szCs w:val="21"/>
                <w:highlight w:val="none"/>
              </w:rPr>
              <w:t>分。在此基础上，投标总报价与评标基准价相比，每增加1%扣</w:t>
            </w:r>
            <w:r>
              <w:rPr>
                <w:rFonts w:ascii="宋体" w:hAnsi="宋体" w:eastAsia="宋体" w:cs="Times New Roman"/>
                <w:color w:val="auto"/>
                <w:szCs w:val="21"/>
                <w:highlight w:val="none"/>
                <w:u w:val="single"/>
              </w:rPr>
              <w:t>　</w:t>
            </w:r>
            <w:r>
              <w:rPr>
                <w:rFonts w:hint="eastAsia" w:ascii="宋体" w:hAnsi="宋体" w:cs="Times New Roman"/>
                <w:color w:val="auto"/>
                <w:szCs w:val="21"/>
                <w:highlight w:val="none"/>
                <w:u w:val="single"/>
                <w:lang w:val="en-US" w:eastAsia="zh-CN"/>
              </w:rPr>
              <w:t>0.5</w:t>
            </w:r>
            <w:r>
              <w:rPr>
                <w:rFonts w:ascii="宋体" w:hAnsi="宋体" w:eastAsia="宋体" w:cs="Times New Roman"/>
                <w:color w:val="auto"/>
                <w:szCs w:val="21"/>
                <w:highlight w:val="none"/>
                <w:u w:val="single"/>
              </w:rPr>
              <w:t>　</w:t>
            </w:r>
            <w:r>
              <w:rPr>
                <w:rFonts w:ascii="宋体" w:hAnsi="宋体" w:eastAsia="宋体" w:cs="Times New Roman"/>
                <w:color w:val="auto"/>
                <w:szCs w:val="21"/>
                <w:highlight w:val="none"/>
              </w:rPr>
              <w:t>分，每减少1%扣</w:t>
            </w:r>
            <w:r>
              <w:rPr>
                <w:rFonts w:hint="eastAsia" w:ascii="宋体" w:hAnsi="宋体" w:eastAsia="宋体" w:cs="Times New Roman"/>
                <w:color w:val="auto"/>
                <w:szCs w:val="21"/>
                <w:highlight w:val="none"/>
                <w:u w:val="single"/>
                <w:lang w:val="en-US" w:eastAsia="zh-CN"/>
              </w:rPr>
              <w:t>0.</w:t>
            </w:r>
            <w:r>
              <w:rPr>
                <w:rFonts w:hint="eastAsia" w:ascii="宋体" w:hAnsi="宋体" w:cs="Times New Roman"/>
                <w:color w:val="auto"/>
                <w:szCs w:val="21"/>
                <w:highlight w:val="none"/>
                <w:u w:val="single"/>
                <w:lang w:val="en-US" w:eastAsia="zh-CN"/>
              </w:rPr>
              <w:t xml:space="preserve">25 </w:t>
            </w:r>
            <w:r>
              <w:rPr>
                <w:rFonts w:ascii="宋体" w:hAnsi="宋体" w:eastAsia="宋体" w:cs="Times New Roman"/>
                <w:color w:val="auto"/>
                <w:szCs w:val="21"/>
                <w:highlight w:val="none"/>
              </w:rPr>
              <w:t>分，扣完为止。</w:t>
            </w:r>
          </w:p>
          <w:p w14:paraId="2C422DE9">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按插入法计算得分。</w:t>
            </w:r>
          </w:p>
          <w:p w14:paraId="0DAD27F4">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在偏差范围内，未参与评标基准价计算的</w:t>
            </w:r>
            <w:r>
              <w:rPr>
                <w:rFonts w:hint="eastAsia" w:ascii="宋体" w:hAnsi="宋体" w:eastAsia="宋体" w:cs="Times New Roman"/>
                <w:color w:val="auto"/>
                <w:szCs w:val="21"/>
                <w:highlight w:val="none"/>
                <w:lang w:eastAsia="zh-CN"/>
              </w:rPr>
              <w:t>竞标报价</w:t>
            </w:r>
            <w:r>
              <w:rPr>
                <w:rFonts w:ascii="宋体" w:hAnsi="宋体" w:eastAsia="宋体" w:cs="Times New Roman"/>
                <w:color w:val="auto"/>
                <w:szCs w:val="21"/>
                <w:highlight w:val="none"/>
              </w:rPr>
              <w:t>，仍应参加计算相应分值。</w:t>
            </w:r>
          </w:p>
          <w:p w14:paraId="6537F37C">
            <w:pPr>
              <w:spacing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szCs w:val="21"/>
                <w:highlight w:val="none"/>
              </w:rPr>
              <w:t>投标总报价得分最终结果</w:t>
            </w:r>
            <w:r>
              <w:rPr>
                <w:rFonts w:ascii="宋体" w:hAnsi="宋体" w:eastAsia="宋体" w:cs="Times New Roman"/>
                <w:color w:val="auto"/>
                <w:kern w:val="0"/>
                <w:szCs w:val="21"/>
                <w:highlight w:val="none"/>
              </w:rPr>
              <w:t>取小数点后两位，第三位四舍五入。</w:t>
            </w:r>
          </w:p>
        </w:tc>
      </w:tr>
      <w:tr w14:paraId="7DDD30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3"/>
            <w:noWrap w:val="0"/>
            <w:vAlign w:val="center"/>
          </w:tcPr>
          <w:p w14:paraId="259C9CDD">
            <w:pPr>
              <w:spacing w:line="400" w:lineRule="exact"/>
              <w:ind w:firstLine="18" w:firstLineChars="9"/>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3.2.3</w:t>
            </w:r>
          </w:p>
        </w:tc>
        <w:tc>
          <w:tcPr>
            <w:tcW w:w="1849" w:type="dxa"/>
            <w:gridSpan w:val="2"/>
            <w:noWrap w:val="0"/>
            <w:vAlign w:val="center"/>
          </w:tcPr>
          <w:p w14:paraId="60232E3A">
            <w:pPr>
              <w:spacing w:line="400" w:lineRule="exact"/>
              <w:ind w:firstLine="18" w:firstLineChars="9"/>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人得分</w:t>
            </w:r>
          </w:p>
        </w:tc>
        <w:tc>
          <w:tcPr>
            <w:tcW w:w="5493" w:type="dxa"/>
            <w:noWrap w:val="0"/>
            <w:vAlign w:val="center"/>
          </w:tcPr>
          <w:p w14:paraId="1A8FE777">
            <w:pPr>
              <w:spacing w:line="400" w:lineRule="exact"/>
              <w:jc w:val="center"/>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eastAsia="zh-CN"/>
              </w:rPr>
              <w:t>竞标</w:t>
            </w:r>
            <w:r>
              <w:rPr>
                <w:rFonts w:ascii="宋体" w:hAnsi="宋体" w:eastAsia="宋体" w:cs="Times New Roman"/>
                <w:color w:val="auto"/>
                <w:szCs w:val="21"/>
                <w:highlight w:val="none"/>
                <w:u w:val="single"/>
              </w:rPr>
              <w:t>人得分=A+B</w:t>
            </w:r>
            <w:r>
              <w:rPr>
                <w:rFonts w:hint="eastAsia" w:ascii="宋体" w:hAnsi="宋体" w:cs="Times New Roman"/>
                <w:color w:val="auto"/>
                <w:szCs w:val="21"/>
                <w:highlight w:val="none"/>
                <w:u w:val="single"/>
                <w:lang w:val="en-US" w:eastAsia="zh-CN"/>
              </w:rPr>
              <w:t>+C</w:t>
            </w:r>
          </w:p>
        </w:tc>
      </w:tr>
    </w:tbl>
    <w:p w14:paraId="0D05DD43">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80" w:name="_Toc509218776"/>
      <w:r>
        <w:rPr>
          <w:rFonts w:ascii="宋体" w:hAnsi="宋体" w:eastAsia="宋体" w:cs="Times New Roman"/>
          <w:b w:val="0"/>
          <w:bCs/>
          <w:snapToGrid w:val="0"/>
          <w:color w:val="auto"/>
          <w:kern w:val="2"/>
          <w:sz w:val="32"/>
          <w:szCs w:val="32"/>
          <w:highlight w:val="none"/>
          <w:lang w:val="en-US" w:eastAsia="zh-CN" w:bidi="ar-SA"/>
        </w:rPr>
        <w:br w:type="page"/>
      </w:r>
      <w:bookmarkEnd w:id="380"/>
      <w:r>
        <w:rPr>
          <w:rFonts w:ascii="宋体" w:hAnsi="宋体" w:eastAsia="宋体" w:cs="Times New Roman"/>
          <w:b w:val="0"/>
          <w:bCs/>
          <w:snapToGrid w:val="0"/>
          <w:color w:val="auto"/>
          <w:kern w:val="2"/>
          <w:sz w:val="32"/>
          <w:szCs w:val="32"/>
          <w:highlight w:val="none"/>
          <w:lang w:val="en-US" w:eastAsia="zh-CN" w:bidi="ar-SA"/>
        </w:rPr>
        <w:t>1.  评标方法</w:t>
      </w:r>
    </w:p>
    <w:p w14:paraId="3AC8B3DE">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hint="eastAsia" w:ascii="宋体" w:hAnsi="宋体" w:eastAsia="宋体" w:cs="Times New Roman"/>
          <w:color w:val="auto"/>
          <w:kern w:val="0"/>
          <w:szCs w:val="21"/>
          <w:highlight w:val="none"/>
        </w:rPr>
        <w:t>，若出现</w:t>
      </w:r>
      <w:r>
        <w:rPr>
          <w:rFonts w:hint="eastAsia" w:ascii="宋体" w:hAnsi="宋体" w:eastAsia="宋体" w:cs="Times New Roman"/>
          <w:color w:val="auto"/>
          <w:kern w:val="0"/>
          <w:szCs w:val="21"/>
          <w:highlight w:val="none"/>
          <w:lang w:eastAsia="zh-CN"/>
        </w:rPr>
        <w:t>竞标</w:t>
      </w:r>
      <w:r>
        <w:rPr>
          <w:rFonts w:hint="eastAsia"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相同的，以评标办法前附表约定的原则确定排序</w:t>
      </w:r>
      <w:r>
        <w:rPr>
          <w:rFonts w:ascii="宋体" w:hAnsi="宋体" w:eastAsia="宋体" w:cs="Times New Roman"/>
          <w:color w:val="auto"/>
          <w:spacing w:val="-31"/>
          <w:kern w:val="0"/>
          <w:szCs w:val="21"/>
          <w:highlight w:val="none"/>
        </w:rPr>
        <w:t>。</w:t>
      </w:r>
    </w:p>
    <w:p w14:paraId="16C38B1B">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81" w:name="_Toc200513199"/>
      <w:bookmarkStart w:id="382" w:name="_Toc7"/>
      <w:bookmarkStart w:id="383" w:name="_Toc28040"/>
      <w:bookmarkStart w:id="384" w:name="_Toc430530501"/>
      <w:bookmarkStart w:id="385" w:name="_Toc277082619"/>
      <w:bookmarkStart w:id="386" w:name="_Toc362"/>
      <w:bookmarkStart w:id="387" w:name="_Toc287607813"/>
      <w:bookmarkStart w:id="388" w:name="_Toc224103385"/>
      <w:bookmarkStart w:id="389" w:name="_Toc509218777"/>
      <w:bookmarkStart w:id="390" w:name="_Toc287620752"/>
      <w:r>
        <w:rPr>
          <w:rFonts w:ascii="宋体" w:hAnsi="宋体" w:eastAsia="宋体" w:cs="Times New Roman"/>
          <w:b w:val="0"/>
          <w:bCs/>
          <w:snapToGrid w:val="0"/>
          <w:color w:val="auto"/>
          <w:kern w:val="2"/>
          <w:sz w:val="32"/>
          <w:szCs w:val="32"/>
          <w:highlight w:val="none"/>
          <w:lang w:val="en-US" w:eastAsia="zh-CN" w:bidi="ar-SA"/>
        </w:rPr>
        <w:t>2.  评审标准</w:t>
      </w:r>
      <w:bookmarkEnd w:id="381"/>
      <w:bookmarkEnd w:id="382"/>
      <w:bookmarkEnd w:id="383"/>
      <w:bookmarkEnd w:id="384"/>
      <w:bookmarkEnd w:id="385"/>
      <w:bookmarkEnd w:id="386"/>
      <w:bookmarkEnd w:id="387"/>
      <w:bookmarkEnd w:id="388"/>
      <w:bookmarkEnd w:id="389"/>
      <w:bookmarkEnd w:id="390"/>
    </w:p>
    <w:p w14:paraId="5FDA9DA8">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91" w:name="_Toc2588"/>
      <w:bookmarkStart w:id="392" w:name="_Toc509218778"/>
      <w:bookmarkStart w:id="393" w:name="_Toc287620753"/>
      <w:bookmarkStart w:id="394" w:name="_Toc200513200"/>
      <w:bookmarkStart w:id="395" w:name="_Toc14911"/>
      <w:bookmarkStart w:id="396" w:name="_Toc277082620"/>
      <w:bookmarkStart w:id="397" w:name="_Toc23562"/>
      <w:bookmarkStart w:id="398" w:name="_Toc287607814"/>
      <w:bookmarkStart w:id="399" w:name="_Toc430530502"/>
      <w:bookmarkStart w:id="400" w:name="_Toc224103386"/>
      <w:r>
        <w:rPr>
          <w:rFonts w:ascii="宋体" w:hAnsi="宋体" w:eastAsia="宋体" w:cs="Times New Roman"/>
          <w:b w:val="0"/>
          <w:bCs/>
          <w:snapToGrid w:val="0"/>
          <w:color w:val="auto"/>
          <w:kern w:val="2"/>
          <w:sz w:val="24"/>
          <w:szCs w:val="24"/>
          <w:highlight w:val="none"/>
          <w:lang w:val="en-US" w:eastAsia="zh-CN" w:bidi="ar-SA"/>
        </w:rPr>
        <w:t>2.1  初步评审标准</w:t>
      </w:r>
      <w:bookmarkEnd w:id="391"/>
      <w:bookmarkEnd w:id="392"/>
      <w:bookmarkEnd w:id="393"/>
      <w:bookmarkEnd w:id="394"/>
      <w:bookmarkEnd w:id="395"/>
      <w:bookmarkEnd w:id="396"/>
      <w:bookmarkEnd w:id="397"/>
      <w:bookmarkEnd w:id="398"/>
      <w:bookmarkEnd w:id="399"/>
      <w:bookmarkEnd w:id="400"/>
    </w:p>
    <w:p w14:paraId="3EAF603E">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 xml:space="preserve">  资格评审标准：见评标办法前附表。</w:t>
      </w:r>
    </w:p>
    <w:p w14:paraId="7E572B4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 xml:space="preserve">  形式评审标准：见评标办法前附表。</w:t>
      </w:r>
    </w:p>
    <w:p w14:paraId="35B10AF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2.1.3  响应性评审标准：见评标办法前附表。</w:t>
      </w:r>
    </w:p>
    <w:p w14:paraId="771F4A02">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01" w:name="_Toc287620754"/>
      <w:bookmarkStart w:id="402" w:name="_Toc16859"/>
      <w:bookmarkStart w:id="403" w:name="_Toc17923"/>
      <w:bookmarkStart w:id="404" w:name="_Toc509218779"/>
      <w:bookmarkStart w:id="405" w:name="_Toc2"/>
      <w:bookmarkStart w:id="406" w:name="_Toc430530503"/>
      <w:bookmarkStart w:id="407" w:name="_Toc224103387"/>
      <w:bookmarkStart w:id="408" w:name="_Toc287607815"/>
      <w:bookmarkStart w:id="409" w:name="_Toc200513201"/>
      <w:bookmarkStart w:id="410" w:name="_Toc277082621"/>
      <w:r>
        <w:rPr>
          <w:rFonts w:ascii="宋体" w:hAnsi="宋体" w:eastAsia="宋体" w:cs="Times New Roman"/>
          <w:b w:val="0"/>
          <w:bCs/>
          <w:snapToGrid w:val="0"/>
          <w:color w:val="auto"/>
          <w:kern w:val="2"/>
          <w:sz w:val="24"/>
          <w:szCs w:val="24"/>
          <w:highlight w:val="none"/>
          <w:lang w:val="en-US" w:eastAsia="zh-CN" w:bidi="ar-SA"/>
        </w:rPr>
        <w:t>2.2  分值构成与评分标准</w:t>
      </w:r>
      <w:bookmarkEnd w:id="401"/>
      <w:bookmarkEnd w:id="402"/>
      <w:bookmarkEnd w:id="403"/>
      <w:bookmarkEnd w:id="404"/>
      <w:bookmarkEnd w:id="405"/>
      <w:bookmarkEnd w:id="406"/>
      <w:bookmarkEnd w:id="407"/>
      <w:bookmarkEnd w:id="408"/>
      <w:bookmarkEnd w:id="409"/>
      <w:bookmarkEnd w:id="410"/>
    </w:p>
    <w:p w14:paraId="2EF81D5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2.2.1  分值构成</w:t>
      </w:r>
    </w:p>
    <w:p w14:paraId="5EB32ABE">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7D214F2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商务部分</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64208AA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lang w:val="en-US" w:eastAsia="zh-CN"/>
        </w:rPr>
        <w:t>3</w:t>
      </w:r>
      <w:r>
        <w:rPr>
          <w:rFonts w:ascii="宋体" w:hAnsi="宋体" w:eastAsia="宋体" w:cs="Times New Roman"/>
          <w:color w:val="auto"/>
          <w:kern w:val="0"/>
          <w:szCs w:val="21"/>
          <w:highlight w:val="none"/>
        </w:rPr>
        <w:t>）投标</w:t>
      </w:r>
      <w:r>
        <w:rPr>
          <w:rFonts w:hint="eastAsia" w:ascii="宋体" w:hAnsi="宋体" w:eastAsia="宋体" w:cs="Times New Roman"/>
          <w:color w:val="auto"/>
          <w:kern w:val="0"/>
          <w:szCs w:val="21"/>
          <w:highlight w:val="none"/>
        </w:rPr>
        <w:t>总</w:t>
      </w:r>
      <w:r>
        <w:rPr>
          <w:rFonts w:ascii="宋体" w:hAnsi="宋体" w:eastAsia="宋体" w:cs="Times New Roman"/>
          <w:color w:val="auto"/>
          <w:spacing w:val="-1"/>
          <w:kern w:val="0"/>
          <w:szCs w:val="21"/>
          <w:highlight w:val="none"/>
        </w:rPr>
        <w:t>报</w:t>
      </w:r>
      <w:r>
        <w:rPr>
          <w:rFonts w:ascii="宋体" w:hAnsi="宋体" w:eastAsia="宋体" w:cs="Times New Roman"/>
          <w:color w:val="auto"/>
          <w:kern w:val="0"/>
          <w:szCs w:val="21"/>
          <w:highlight w:val="none"/>
        </w:rPr>
        <w:t>价：见评标办法前附表</w:t>
      </w:r>
      <w:r>
        <w:rPr>
          <w:rFonts w:hint="eastAsia" w:ascii="宋体" w:hAnsi="宋体" w:eastAsia="宋体" w:cs="Times New Roman"/>
          <w:color w:val="auto"/>
          <w:kern w:val="0"/>
          <w:szCs w:val="21"/>
          <w:highlight w:val="none"/>
        </w:rPr>
        <w:t>。</w:t>
      </w:r>
    </w:p>
    <w:p w14:paraId="1616BC38">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2.2.2  </w:t>
      </w:r>
      <w:r>
        <w:rPr>
          <w:rFonts w:hint="eastAsia" w:ascii="宋体" w:hAnsi="宋体" w:eastAsia="宋体" w:cs="Times New Roman"/>
          <w:color w:val="auto"/>
          <w:kern w:val="0"/>
          <w:szCs w:val="21"/>
          <w:highlight w:val="none"/>
        </w:rPr>
        <w:t>评分标准</w:t>
      </w:r>
    </w:p>
    <w:p w14:paraId="5339213B">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评分标准：见评标办法前附表。</w:t>
      </w:r>
    </w:p>
    <w:p w14:paraId="565BE012">
      <w:pPr>
        <w:autoSpaceDE w:val="0"/>
        <w:autoSpaceDN w:val="0"/>
        <w:adjustRightInd w:val="0"/>
        <w:snapToGrid w:val="0"/>
        <w:spacing w:line="360" w:lineRule="auto"/>
        <w:ind w:firstLine="420" w:firstLineChars="200"/>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2.2.3  </w:t>
      </w:r>
      <w:r>
        <w:rPr>
          <w:rFonts w:ascii="宋体" w:hAnsi="宋体" w:eastAsia="宋体" w:cs="Times New Roman"/>
          <w:color w:val="auto"/>
          <w:kern w:val="0"/>
          <w:szCs w:val="21"/>
          <w:highlight w:val="none"/>
        </w:rPr>
        <w:t>评标基准价计算</w:t>
      </w:r>
      <w:r>
        <w:rPr>
          <w:rFonts w:hint="eastAsia" w:ascii="宋体" w:hAnsi="宋体" w:cs="Times New Roman"/>
          <w:color w:val="auto"/>
          <w:kern w:val="0"/>
          <w:szCs w:val="21"/>
          <w:highlight w:val="none"/>
          <w:lang w:val="en-US" w:eastAsia="zh-CN"/>
        </w:rPr>
        <w:tab/>
      </w:r>
      <w:r>
        <w:rPr>
          <w:rFonts w:hint="eastAsia" w:ascii="宋体" w:hAnsi="宋体" w:cs="Times New Roman"/>
          <w:color w:val="auto"/>
          <w:kern w:val="0"/>
          <w:szCs w:val="21"/>
          <w:highlight w:val="none"/>
          <w:lang w:val="en-US" w:eastAsia="zh-CN"/>
        </w:rPr>
        <w:tab/>
      </w:r>
    </w:p>
    <w:p w14:paraId="6BB8F72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评标基准价计算方法：见评标办法前附表。</w:t>
      </w:r>
    </w:p>
    <w:p w14:paraId="539977DA">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w:t>
      </w:r>
      <w:r>
        <w:rPr>
          <w:rFonts w:hint="eastAsia" w:ascii="宋体" w:hAnsi="宋体" w:eastAsia="宋体" w:cs="Times New Roman"/>
          <w:color w:val="auto"/>
          <w:kern w:val="0"/>
          <w:szCs w:val="21"/>
          <w:highlight w:val="none"/>
        </w:rPr>
        <w:t>和允许偏差范围</w:t>
      </w:r>
    </w:p>
    <w:p w14:paraId="65FF2FE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的偏差率计算公式：见评标办法前附表</w:t>
      </w:r>
      <w:r>
        <w:rPr>
          <w:rFonts w:hint="eastAsia" w:ascii="宋体" w:hAnsi="宋体" w:eastAsia="宋体" w:cs="Times New Roman"/>
          <w:color w:val="auto"/>
          <w:kern w:val="0"/>
          <w:szCs w:val="21"/>
          <w:highlight w:val="none"/>
        </w:rPr>
        <w:t>；</w:t>
      </w:r>
    </w:p>
    <w:p w14:paraId="7CF2E2A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的允许偏差范围</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7CA9A07F">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411" w:name="_Toc23399"/>
      <w:bookmarkStart w:id="412" w:name="_Toc8138"/>
      <w:bookmarkStart w:id="413" w:name="_Toc200513202"/>
      <w:bookmarkStart w:id="414" w:name="_Toc509218780"/>
      <w:bookmarkStart w:id="415" w:name="_Toc224103388"/>
      <w:bookmarkStart w:id="416" w:name="_Toc277082622"/>
      <w:bookmarkStart w:id="417" w:name="_Toc430530504"/>
      <w:bookmarkStart w:id="418" w:name="_Toc287607816"/>
      <w:bookmarkStart w:id="419" w:name="_Toc4568"/>
      <w:bookmarkStart w:id="420" w:name="_Toc287620755"/>
      <w:r>
        <w:rPr>
          <w:rFonts w:ascii="宋体" w:hAnsi="宋体" w:eastAsia="宋体" w:cs="Times New Roman"/>
          <w:b w:val="0"/>
          <w:bCs/>
          <w:snapToGrid w:val="0"/>
          <w:color w:val="auto"/>
          <w:kern w:val="2"/>
          <w:sz w:val="32"/>
          <w:szCs w:val="32"/>
          <w:highlight w:val="none"/>
          <w:lang w:val="en-US" w:eastAsia="zh-CN" w:bidi="ar-SA"/>
        </w:rPr>
        <w:t>3.  评标程序</w:t>
      </w:r>
      <w:bookmarkEnd w:id="411"/>
      <w:bookmarkEnd w:id="412"/>
      <w:bookmarkEnd w:id="413"/>
      <w:bookmarkEnd w:id="414"/>
      <w:bookmarkEnd w:id="415"/>
      <w:bookmarkEnd w:id="416"/>
      <w:bookmarkEnd w:id="417"/>
      <w:bookmarkEnd w:id="418"/>
      <w:bookmarkEnd w:id="419"/>
      <w:bookmarkEnd w:id="420"/>
    </w:p>
    <w:p w14:paraId="429B7017">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21" w:name="_Toc21102"/>
      <w:bookmarkStart w:id="422" w:name="_Toc200513203"/>
      <w:bookmarkStart w:id="423" w:name="_Toc287620756"/>
      <w:bookmarkStart w:id="424" w:name="_Toc224103389"/>
      <w:bookmarkStart w:id="425" w:name="_Toc277082623"/>
      <w:bookmarkStart w:id="426" w:name="_Toc8458"/>
      <w:bookmarkStart w:id="427" w:name="_Toc509218781"/>
      <w:bookmarkStart w:id="428" w:name="_Toc430530505"/>
      <w:bookmarkStart w:id="429" w:name="_Toc287607817"/>
      <w:bookmarkStart w:id="430" w:name="_Toc2782"/>
      <w:r>
        <w:rPr>
          <w:rFonts w:ascii="宋体" w:hAnsi="宋体" w:eastAsia="宋体" w:cs="Times New Roman"/>
          <w:b w:val="0"/>
          <w:bCs/>
          <w:snapToGrid w:val="0"/>
          <w:color w:val="auto"/>
          <w:kern w:val="2"/>
          <w:sz w:val="24"/>
          <w:szCs w:val="24"/>
          <w:highlight w:val="none"/>
          <w:lang w:val="en-US" w:eastAsia="zh-CN" w:bidi="ar-SA"/>
        </w:rPr>
        <w:t>3.1  初步评审</w:t>
      </w:r>
      <w:bookmarkEnd w:id="421"/>
      <w:bookmarkEnd w:id="422"/>
      <w:bookmarkEnd w:id="423"/>
      <w:bookmarkEnd w:id="424"/>
      <w:bookmarkEnd w:id="425"/>
      <w:bookmarkEnd w:id="426"/>
      <w:bookmarkEnd w:id="427"/>
      <w:bookmarkEnd w:id="428"/>
      <w:bookmarkEnd w:id="429"/>
      <w:bookmarkEnd w:id="430"/>
    </w:p>
    <w:p w14:paraId="2727F67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依据本章第 2.1 款规定的标准对</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进行初步评审。有一项不符合评审标准的，作否决投标处理。</w:t>
      </w:r>
    </w:p>
    <w:p w14:paraId="4C27E8C6">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3.1.2  </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人有以下情形之一的，其投标作否决投标处理：</w:t>
      </w:r>
    </w:p>
    <w:p w14:paraId="2A7A348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）第二</w:t>
      </w:r>
      <w:r>
        <w:rPr>
          <w:rFonts w:ascii="宋体" w:hAnsi="宋体" w:eastAsia="宋体" w:cs="Times New Roman"/>
          <w:color w:val="auto"/>
          <w:spacing w:val="-1"/>
          <w:kern w:val="0"/>
          <w:szCs w:val="21"/>
          <w:highlight w:val="none"/>
        </w:rPr>
        <w:t>章</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人须知”第</w:t>
      </w:r>
      <w:r>
        <w:rPr>
          <w:rFonts w:ascii="宋体" w:hAnsi="宋体" w:eastAsia="宋体" w:cs="Times New Roman"/>
          <w:color w:val="auto"/>
          <w:spacing w:val="1"/>
          <w:kern w:val="0"/>
          <w:szCs w:val="21"/>
          <w:highlight w:val="none"/>
        </w:rPr>
        <w:t>1</w:t>
      </w:r>
      <w:r>
        <w:rPr>
          <w:rFonts w:ascii="宋体" w:hAnsi="宋体" w:eastAsia="宋体" w:cs="Times New Roman"/>
          <w:color w:val="auto"/>
          <w:spacing w:val="-1"/>
          <w:kern w:val="0"/>
          <w:szCs w:val="21"/>
          <w:highlight w:val="none"/>
        </w:rPr>
        <w:t>.</w:t>
      </w:r>
      <w:r>
        <w:rPr>
          <w:rFonts w:ascii="宋体" w:hAnsi="宋体" w:eastAsia="宋体" w:cs="Times New Roman"/>
          <w:color w:val="auto"/>
          <w:spacing w:val="1"/>
          <w:kern w:val="0"/>
          <w:szCs w:val="21"/>
          <w:highlight w:val="none"/>
        </w:rPr>
        <w:t>4</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3项规定的任何一种情形的；</w:t>
      </w:r>
    </w:p>
    <w:p w14:paraId="3900278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rPr>
        <w:t>本次投标有串通投标、弄虚作假等其他违反招投标相关法律、法规行为的</w:t>
      </w:r>
      <w:r>
        <w:rPr>
          <w:rFonts w:ascii="宋体" w:hAnsi="宋体" w:eastAsia="宋体" w:cs="Times New Roman"/>
          <w:color w:val="auto"/>
          <w:kern w:val="0"/>
          <w:szCs w:val="21"/>
          <w:highlight w:val="none"/>
        </w:rPr>
        <w:t>；</w:t>
      </w:r>
    </w:p>
    <w:p w14:paraId="52072F38">
      <w:pPr>
        <w:autoSpaceDE w:val="0"/>
        <w:autoSpaceDN w:val="0"/>
        <w:adjustRightInd w:val="0"/>
        <w:snapToGrid w:val="0"/>
        <w:spacing w:line="360" w:lineRule="auto"/>
        <w:ind w:firstLine="422" w:firstLineChars="200"/>
        <w:rPr>
          <w:rFonts w:hint="eastAsia"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弄虚作假行为的界定：</w:t>
      </w:r>
    </w:p>
    <w:p w14:paraId="69270610">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（1）利用伪造、变造或者无效的资质证书、印鉴参加投标的；</w:t>
      </w:r>
    </w:p>
    <w:p w14:paraId="0F91D362">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（2）伪造或者虚报业绩的；</w:t>
      </w:r>
    </w:p>
    <w:p w14:paraId="4251B09A">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（3）伪造主要技术人员简历、劳动关系证明；或者中标后不按承诺配备项目负责人或者主要技术人员的；</w:t>
      </w:r>
    </w:p>
    <w:p w14:paraId="1E1E811F">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（4）伪造或者虚报财务状况的；</w:t>
      </w:r>
    </w:p>
    <w:p w14:paraId="79D3CC35">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（5）提交虚假的信用状况信息的；</w:t>
      </w:r>
    </w:p>
    <w:p w14:paraId="67B0FD84">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（6）隐瞒招标文件要求提供的信息，或者提供虚假、引人误解的其他信息；</w:t>
      </w:r>
    </w:p>
    <w:p w14:paraId="6CB5ECB8">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（7）法律、法规、规章规定的其他弄虚作假行为。</w:t>
      </w:r>
    </w:p>
    <w:p w14:paraId="68753F1F">
      <w:pPr>
        <w:widowControl w:val="0"/>
        <w:spacing w:after="120"/>
        <w:ind w:firstLine="420"/>
        <w:jc w:val="both"/>
        <w:rPr>
          <w:rFonts w:hint="eastAsia" w:ascii="宋体" w:hAnsi="宋体" w:eastAsia="宋体" w:cs="Times New Roman"/>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t>围标串标的认定：</w:t>
      </w:r>
    </w:p>
    <w:p w14:paraId="6E6ACF4A">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有下列情形之一的，经</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集体认定为串通投标后，作废标处理。</w:t>
      </w:r>
    </w:p>
    <w:p w14:paraId="3CED6C22">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内容存在非正常一致有5处及以上的；</w:t>
      </w:r>
    </w:p>
    <w:p w14:paraId="1E397C14">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错漏之处一致有3处及以上的；</w:t>
      </w:r>
    </w:p>
    <w:p w14:paraId="05A66C66">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错漏之处一致有1处且非正常处3处及以上的；</w:t>
      </w:r>
    </w:p>
    <w:p w14:paraId="226AB8F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竞标报价</w:t>
      </w:r>
      <w:r>
        <w:rPr>
          <w:rFonts w:hint="eastAsia" w:ascii="宋体" w:hAnsi="宋体" w:eastAsia="宋体" w:cs="宋体"/>
          <w:color w:val="auto"/>
          <w:kern w:val="0"/>
          <w:szCs w:val="21"/>
          <w:highlight w:val="none"/>
        </w:rPr>
        <w:t>或者报价组成异常，且一致或者呈规律性变化的；</w:t>
      </w:r>
    </w:p>
    <w:p w14:paraId="24F3DA4B">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由同一单位或者同一个人编制的；</w:t>
      </w:r>
    </w:p>
    <w:p w14:paraId="51558309">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载明的项目管理班子成员出现同一人的；</w:t>
      </w:r>
    </w:p>
    <w:p w14:paraId="6BC1701E">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相互混装的；</w:t>
      </w:r>
    </w:p>
    <w:p w14:paraId="09045E99">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由同一台电脑编制的；</w:t>
      </w:r>
    </w:p>
    <w:p w14:paraId="5AB11F3F">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委托同一人投标的；</w:t>
      </w:r>
    </w:p>
    <w:p w14:paraId="2E072FDC">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使用同一个企业资金交纳投标保证金的；</w:t>
      </w:r>
    </w:p>
    <w:p w14:paraId="22D9C1CB">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聘请同一人为其投标提供技术或者经济咨询服务的，但招标</w:t>
      </w: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rPr>
        <w:t>本身要求采用专有技术的除外；</w:t>
      </w:r>
    </w:p>
    <w:p w14:paraId="346AAE5D">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认定的其他串通投标情形。</w:t>
      </w:r>
    </w:p>
    <w:p w14:paraId="5D7E9589">
      <w:pPr>
        <w:ind w:firstLine="420"/>
        <w:rPr>
          <w:rFonts w:hint="default" w:ascii="Times New Roman" w:hAnsi="Times New Roman" w:eastAsia="宋体" w:cs="Times New Roman"/>
          <w:color w:val="auto"/>
          <w:highlight w:val="none"/>
          <w:lang w:val="en-US" w:eastAsia="zh-CN"/>
        </w:rPr>
      </w:pPr>
    </w:p>
    <w:p w14:paraId="56A7DD0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拒绝</w:t>
      </w:r>
      <w:r>
        <w:rPr>
          <w:rFonts w:ascii="宋体" w:hAnsi="宋体" w:eastAsia="宋体" w:cs="Times New Roman"/>
          <w:color w:val="auto"/>
          <w:kern w:val="0"/>
          <w:szCs w:val="21"/>
          <w:highlight w:val="none"/>
        </w:rPr>
        <w:t>按</w:t>
      </w:r>
      <w:r>
        <w:rPr>
          <w:rFonts w:hint="eastAsia" w:ascii="宋体" w:hAnsi="宋体" w:eastAsia="宋体" w:cs="Times New Roman"/>
          <w:color w:val="auto"/>
          <w:spacing w:val="-1"/>
          <w:kern w:val="0"/>
          <w:szCs w:val="21"/>
          <w:highlight w:val="none"/>
          <w:lang w:eastAsia="zh-CN"/>
        </w:rPr>
        <w:t>评审小组</w:t>
      </w:r>
      <w:r>
        <w:rPr>
          <w:rFonts w:ascii="宋体" w:hAnsi="宋体" w:eastAsia="宋体" w:cs="Times New Roman"/>
          <w:color w:val="auto"/>
          <w:kern w:val="0"/>
          <w:szCs w:val="21"/>
          <w:highlight w:val="none"/>
        </w:rPr>
        <w:t>要求澄清、说明或补正的</w:t>
      </w:r>
      <w:r>
        <w:rPr>
          <w:rFonts w:hint="eastAsia" w:ascii="宋体" w:hAnsi="宋体" w:eastAsia="宋体" w:cs="Times New Roman"/>
          <w:color w:val="auto"/>
          <w:kern w:val="0"/>
          <w:szCs w:val="21"/>
          <w:highlight w:val="none"/>
        </w:rPr>
        <w:t>。</w:t>
      </w:r>
    </w:p>
    <w:p w14:paraId="1B0EE329">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3.1.3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有算术错误的，</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按以下原则对</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进行修正，修正的价格经</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书面确认后具有约束力</w:t>
      </w:r>
      <w:r>
        <w:rPr>
          <w:rFonts w:hint="eastAsia" w:ascii="宋体" w:hAnsi="宋体" w:eastAsia="宋体" w:cs="Times New Roman"/>
          <w:color w:val="auto"/>
          <w:kern w:val="0"/>
          <w:szCs w:val="21"/>
          <w:highlight w:val="none"/>
        </w:rPr>
        <w:t>，修正原则如下：</w:t>
      </w:r>
    </w:p>
    <w:p w14:paraId="76E74F4F">
      <w:pPr>
        <w:autoSpaceDE w:val="0"/>
        <w:autoSpaceDN w:val="0"/>
        <w:adjustRightInd w:val="0"/>
        <w:snapToGrid w:val="0"/>
        <w:spacing w:line="360" w:lineRule="auto"/>
        <w:ind w:firstLine="532"/>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（1）</w:t>
      </w:r>
      <w:r>
        <w:rPr>
          <w:rFonts w:hint="eastAsia" w:ascii="宋体" w:hAnsi="宋体" w:eastAsia="宋体" w:cs="Times New Roman"/>
          <w:color w:val="auto"/>
          <w:spacing w:val="-1"/>
          <w:kern w:val="0"/>
          <w:szCs w:val="21"/>
          <w:highlight w:val="none"/>
          <w:lang w:eastAsia="zh-CN"/>
        </w:rPr>
        <w:t>竞标文件</w:t>
      </w:r>
      <w:r>
        <w:rPr>
          <w:rFonts w:ascii="宋体" w:hAnsi="宋体" w:eastAsia="宋体" w:cs="Times New Roman"/>
          <w:color w:val="auto"/>
          <w:spacing w:val="-1"/>
          <w:kern w:val="0"/>
          <w:szCs w:val="21"/>
          <w:highlight w:val="none"/>
        </w:rPr>
        <w:t>中的大写金额与小写金额不一致的，以大写金</w:t>
      </w:r>
      <w:r>
        <w:rPr>
          <w:rFonts w:ascii="宋体" w:hAnsi="宋体" w:eastAsia="宋体" w:cs="Times New Roman"/>
          <w:color w:val="auto"/>
          <w:kern w:val="0"/>
          <w:szCs w:val="21"/>
          <w:highlight w:val="none"/>
        </w:rPr>
        <w:t>额为准</w:t>
      </w:r>
      <w:r>
        <w:rPr>
          <w:rFonts w:hint="eastAsia" w:ascii="宋体" w:hAnsi="宋体" w:eastAsia="宋体" w:cs="Times New Roman"/>
          <w:color w:val="auto"/>
          <w:kern w:val="0"/>
          <w:szCs w:val="21"/>
          <w:highlight w:val="none"/>
        </w:rPr>
        <w:t>；</w:t>
      </w:r>
    </w:p>
    <w:p w14:paraId="4158ECCE">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31" w:name="_Toc287620757"/>
      <w:bookmarkStart w:id="432" w:name="_Toc12430"/>
      <w:bookmarkStart w:id="433" w:name="_Toc224103390"/>
      <w:bookmarkStart w:id="434" w:name="_Toc31837"/>
      <w:bookmarkStart w:id="435" w:name="_Toc430530506"/>
      <w:bookmarkStart w:id="436" w:name="_Toc200513204"/>
      <w:bookmarkStart w:id="437" w:name="_Toc277082624"/>
      <w:bookmarkStart w:id="438" w:name="_Toc509218782"/>
      <w:bookmarkStart w:id="439" w:name="_Toc287607818"/>
      <w:bookmarkStart w:id="440" w:name="_Toc8312"/>
      <w:r>
        <w:rPr>
          <w:rFonts w:ascii="宋体" w:hAnsi="宋体" w:eastAsia="宋体" w:cs="Times New Roman"/>
          <w:b w:val="0"/>
          <w:bCs/>
          <w:snapToGrid w:val="0"/>
          <w:color w:val="auto"/>
          <w:kern w:val="2"/>
          <w:sz w:val="24"/>
          <w:szCs w:val="24"/>
          <w:highlight w:val="none"/>
          <w:lang w:val="en-US" w:eastAsia="zh-CN" w:bidi="ar-SA"/>
        </w:rPr>
        <w:t>3.2  详细评审</w:t>
      </w:r>
      <w:bookmarkEnd w:id="431"/>
      <w:bookmarkEnd w:id="432"/>
      <w:bookmarkEnd w:id="433"/>
      <w:bookmarkEnd w:id="434"/>
      <w:bookmarkEnd w:id="435"/>
      <w:bookmarkEnd w:id="436"/>
      <w:bookmarkEnd w:id="437"/>
      <w:bookmarkEnd w:id="438"/>
      <w:bookmarkEnd w:id="439"/>
      <w:bookmarkEnd w:id="440"/>
    </w:p>
    <w:p w14:paraId="224C589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按本章第2.2款规定的量化因素和分值进行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，并计算出综合评估得分。</w:t>
      </w:r>
    </w:p>
    <w:p w14:paraId="7945BFBE">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）目规定的评审因素和分值对技术方案计算出得分</w:t>
      </w:r>
      <w:r>
        <w:rPr>
          <w:rFonts w:hint="eastAsia" w:ascii="宋体" w:hAnsi="宋体" w:eastAsia="宋体" w:cs="Times New Roman"/>
          <w:color w:val="auto"/>
          <w:kern w:val="0"/>
          <w:szCs w:val="21"/>
          <w:highlight w:val="none"/>
        </w:rPr>
        <w:t>A</w:t>
      </w:r>
    </w:p>
    <w:p w14:paraId="1680FF0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（2）按本章第3.2.1（2）目规定的评审因素和分值对商务部分计算出得分B。</w:t>
      </w:r>
    </w:p>
    <w:p w14:paraId="227C61B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）目规定的评审因素和分值对投标总报价计算出得分</w:t>
      </w:r>
      <w:r>
        <w:rPr>
          <w:rFonts w:hint="eastAsia" w:ascii="宋体" w:hAnsi="宋体" w:eastAsia="宋体" w:cs="Times New Roman"/>
          <w:color w:val="auto"/>
          <w:kern w:val="0"/>
          <w:szCs w:val="21"/>
          <w:highlight w:val="none"/>
          <w:lang w:val="en-US" w:eastAsia="zh-CN"/>
        </w:rPr>
        <w:t>C</w:t>
      </w:r>
      <w:r>
        <w:rPr>
          <w:rFonts w:hint="eastAsia" w:ascii="宋体" w:hAnsi="宋体" w:eastAsia="宋体" w:cs="Times New Roman"/>
          <w:color w:val="auto"/>
          <w:kern w:val="0"/>
          <w:szCs w:val="21"/>
          <w:highlight w:val="none"/>
        </w:rPr>
        <w:t>。</w:t>
      </w:r>
    </w:p>
    <w:p w14:paraId="6EE524F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3.2.2  各类评分分值的最终计算结果保留小数点后两位，小数点后第三位“四舍五入”。</w:t>
      </w:r>
    </w:p>
    <w:p w14:paraId="08741B1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3.2.3  </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得分=A+B</w:t>
      </w:r>
      <w:r>
        <w:rPr>
          <w:rFonts w:hint="eastAsia" w:ascii="宋体" w:hAnsi="宋体" w:eastAsia="宋体" w:cs="Times New Roman"/>
          <w:color w:val="auto"/>
          <w:kern w:val="0"/>
          <w:szCs w:val="21"/>
          <w:highlight w:val="none"/>
          <w:lang w:val="en-US" w:eastAsia="zh-CN"/>
        </w:rPr>
        <w:t>+C</w:t>
      </w:r>
      <w:r>
        <w:rPr>
          <w:rFonts w:hint="eastAsia" w:ascii="宋体" w:hAnsi="宋体" w:eastAsia="宋体" w:cs="Times New Roman"/>
          <w:color w:val="auto"/>
          <w:kern w:val="0"/>
          <w:szCs w:val="21"/>
          <w:highlight w:val="none"/>
        </w:rPr>
        <w:t>。</w:t>
      </w:r>
    </w:p>
    <w:p w14:paraId="6C84CC66">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41" w:name="_Toc29615"/>
      <w:bookmarkStart w:id="442" w:name="_Toc200513205"/>
      <w:bookmarkStart w:id="443" w:name="_Toc430530507"/>
      <w:bookmarkStart w:id="444" w:name="_Toc30938"/>
      <w:bookmarkStart w:id="445" w:name="_Toc509218783"/>
      <w:bookmarkStart w:id="446" w:name="_Toc224103391"/>
      <w:bookmarkStart w:id="447" w:name="_Toc23268"/>
      <w:bookmarkStart w:id="448" w:name="_Toc287607819"/>
      <w:bookmarkStart w:id="449" w:name="_Toc287620758"/>
      <w:bookmarkStart w:id="450" w:name="_Toc277082625"/>
      <w:r>
        <w:rPr>
          <w:rFonts w:ascii="宋体" w:hAnsi="宋体" w:eastAsia="宋体" w:cs="Times New Roman"/>
          <w:b w:val="0"/>
          <w:bCs/>
          <w:snapToGrid w:val="0"/>
          <w:color w:val="auto"/>
          <w:kern w:val="2"/>
          <w:sz w:val="24"/>
          <w:szCs w:val="24"/>
          <w:highlight w:val="none"/>
          <w:lang w:val="en-US" w:eastAsia="zh-CN" w:bidi="ar-SA"/>
        </w:rPr>
        <w:t xml:space="preserve">3.3  </w:t>
      </w:r>
      <w:r>
        <w:rPr>
          <w:rFonts w:hint="eastAsia" w:ascii="宋体" w:hAnsi="宋体" w:eastAsia="宋体" w:cs="Times New Roman"/>
          <w:b w:val="0"/>
          <w:bCs/>
          <w:snapToGrid w:val="0"/>
          <w:color w:val="auto"/>
          <w:kern w:val="2"/>
          <w:sz w:val="24"/>
          <w:szCs w:val="24"/>
          <w:highlight w:val="none"/>
          <w:lang w:val="en-US" w:eastAsia="zh-CN" w:bidi="ar-SA"/>
        </w:rPr>
        <w:t>竞标文件</w:t>
      </w:r>
      <w:r>
        <w:rPr>
          <w:rFonts w:ascii="宋体" w:hAnsi="宋体" w:eastAsia="宋体" w:cs="Times New Roman"/>
          <w:b w:val="0"/>
          <w:bCs/>
          <w:snapToGrid w:val="0"/>
          <w:color w:val="auto"/>
          <w:kern w:val="2"/>
          <w:sz w:val="24"/>
          <w:szCs w:val="24"/>
          <w:highlight w:val="none"/>
          <w:lang w:val="en-US" w:eastAsia="zh-CN" w:bidi="ar-SA"/>
        </w:rPr>
        <w:t>的澄清和补正</w:t>
      </w:r>
      <w:bookmarkEnd w:id="441"/>
      <w:bookmarkEnd w:id="442"/>
      <w:bookmarkEnd w:id="443"/>
      <w:bookmarkEnd w:id="444"/>
      <w:bookmarkEnd w:id="445"/>
      <w:bookmarkEnd w:id="446"/>
      <w:bookmarkEnd w:id="447"/>
      <w:bookmarkEnd w:id="448"/>
      <w:bookmarkEnd w:id="449"/>
      <w:bookmarkEnd w:id="450"/>
    </w:p>
    <w:p w14:paraId="3CFB987B">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3.3.1  在评标过程中，</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可以书面形式要求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对所提交</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中不明确的内容进行书面澄清或说明，或者对细微偏差进行补正。</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不接受</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主动提出的澄清、说明或补正。</w:t>
      </w:r>
    </w:p>
    <w:p w14:paraId="1EF8176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3.3.2  澄清、说明和补正不得改变</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的实质性内容（算术性错误修正的除外）。</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的书面澄清、说明和补正属于</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的组成部分。</w:t>
      </w:r>
    </w:p>
    <w:p w14:paraId="10600F5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3.3.3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对</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提交的澄清、说明或补正有疑问的，可以要求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进一步澄清、说明或补正，直至满足</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的要求。</w:t>
      </w:r>
    </w:p>
    <w:p w14:paraId="69FF3DAC">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51" w:name="_Toc509218784"/>
      <w:bookmarkStart w:id="452" w:name="_Toc200513206"/>
      <w:bookmarkStart w:id="453" w:name="_Toc287607820"/>
      <w:bookmarkStart w:id="454" w:name="_Toc277082626"/>
      <w:bookmarkStart w:id="455" w:name="_Toc17868"/>
      <w:bookmarkStart w:id="456" w:name="_Toc287620759"/>
      <w:bookmarkStart w:id="457" w:name="_Toc224103392"/>
      <w:bookmarkStart w:id="458" w:name="_Toc21649"/>
      <w:bookmarkStart w:id="459" w:name="_Toc430530508"/>
      <w:bookmarkStart w:id="460" w:name="_Toc22832"/>
      <w:r>
        <w:rPr>
          <w:rFonts w:ascii="宋体" w:hAnsi="宋体" w:eastAsia="宋体" w:cs="Times New Roman"/>
          <w:b w:val="0"/>
          <w:bCs/>
          <w:snapToGrid w:val="0"/>
          <w:color w:val="auto"/>
          <w:kern w:val="2"/>
          <w:sz w:val="24"/>
          <w:szCs w:val="24"/>
          <w:highlight w:val="none"/>
          <w:lang w:val="en-US" w:eastAsia="zh-CN" w:bidi="ar-SA"/>
        </w:rPr>
        <w:t>3.4  评标结果</w:t>
      </w:r>
      <w:bookmarkEnd w:id="451"/>
      <w:bookmarkEnd w:id="452"/>
      <w:bookmarkEnd w:id="453"/>
      <w:bookmarkEnd w:id="454"/>
      <w:bookmarkEnd w:id="455"/>
      <w:bookmarkEnd w:id="456"/>
      <w:bookmarkEnd w:id="457"/>
      <w:bookmarkEnd w:id="458"/>
      <w:bookmarkEnd w:id="459"/>
      <w:bookmarkEnd w:id="460"/>
    </w:p>
    <w:p w14:paraId="01E26B4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r>
        <w:rPr>
          <w:rFonts w:ascii="宋体" w:hAnsi="宋体" w:eastAsia="宋体" w:cs="Times New Roman"/>
          <w:color w:val="auto"/>
          <w:spacing w:val="-1"/>
          <w:kern w:val="0"/>
          <w:szCs w:val="21"/>
          <w:highlight w:val="none"/>
        </w:rPr>
        <w:t>4</w:t>
      </w:r>
      <w:r>
        <w:rPr>
          <w:rFonts w:ascii="宋体" w:hAnsi="宋体" w:eastAsia="宋体" w:cs="Times New Roman"/>
          <w:color w:val="auto"/>
          <w:kern w:val="0"/>
          <w:szCs w:val="21"/>
          <w:highlight w:val="none"/>
        </w:rPr>
        <w:t xml:space="preserve">.1 </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除第二章“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w:t>
      </w:r>
      <w:r>
        <w:rPr>
          <w:rFonts w:ascii="宋体" w:hAnsi="宋体" w:eastAsia="宋体" w:cs="Times New Roman"/>
          <w:color w:val="auto"/>
          <w:spacing w:val="1"/>
          <w:kern w:val="0"/>
          <w:szCs w:val="21"/>
          <w:highlight w:val="none"/>
        </w:rPr>
        <w:t>附</w:t>
      </w:r>
      <w:r>
        <w:rPr>
          <w:rFonts w:ascii="宋体" w:hAnsi="宋体" w:eastAsia="宋体" w:cs="Times New Roman"/>
          <w:color w:val="auto"/>
          <w:kern w:val="0"/>
          <w:szCs w:val="21"/>
          <w:highlight w:val="none"/>
        </w:rPr>
        <w:t>表授权直</w:t>
      </w:r>
      <w:r>
        <w:rPr>
          <w:rFonts w:ascii="宋体" w:hAnsi="宋体" w:eastAsia="宋体" w:cs="Times New Roman"/>
          <w:color w:val="auto"/>
          <w:spacing w:val="1"/>
          <w:kern w:val="0"/>
          <w:szCs w:val="21"/>
          <w:highlight w:val="none"/>
        </w:rPr>
        <w:t>接</w:t>
      </w:r>
      <w:r>
        <w:rPr>
          <w:rFonts w:ascii="宋体" w:hAnsi="宋体" w:eastAsia="宋体" w:cs="Times New Roman"/>
          <w:color w:val="auto"/>
          <w:kern w:val="0"/>
          <w:szCs w:val="21"/>
          <w:highlight w:val="none"/>
        </w:rPr>
        <w:t>确定中标</w:t>
      </w:r>
      <w:r>
        <w:rPr>
          <w:rFonts w:ascii="宋体" w:hAnsi="宋体" w:eastAsia="宋体" w:cs="Times New Roman"/>
          <w:color w:val="auto"/>
          <w:spacing w:val="1"/>
          <w:kern w:val="0"/>
          <w:szCs w:val="21"/>
          <w:highlight w:val="none"/>
        </w:rPr>
        <w:t>人</w:t>
      </w:r>
      <w:r>
        <w:rPr>
          <w:rFonts w:ascii="宋体" w:hAnsi="宋体" w:eastAsia="宋体" w:cs="Times New Roman"/>
          <w:color w:val="auto"/>
          <w:kern w:val="0"/>
          <w:szCs w:val="21"/>
          <w:highlight w:val="none"/>
        </w:rPr>
        <w:t>外，</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按照</w:t>
      </w:r>
      <w:r>
        <w:rPr>
          <w:rFonts w:ascii="宋体" w:hAnsi="宋体" w:eastAsia="宋体" w:cs="Times New Roman"/>
          <w:color w:val="auto"/>
          <w:spacing w:val="1"/>
          <w:kern w:val="0"/>
          <w:szCs w:val="21"/>
          <w:highlight w:val="none"/>
        </w:rPr>
        <w:t>得分</w:t>
      </w:r>
      <w:r>
        <w:rPr>
          <w:rFonts w:ascii="宋体" w:hAnsi="宋体" w:eastAsia="宋体" w:cs="Times New Roman"/>
          <w:color w:val="auto"/>
          <w:kern w:val="0"/>
          <w:szCs w:val="21"/>
          <w:highlight w:val="none"/>
        </w:rPr>
        <w:t>由高到低的顺序推荐中标候选人。</w:t>
      </w:r>
    </w:p>
    <w:p w14:paraId="62225862">
      <w:pPr>
        <w:autoSpaceDE w:val="0"/>
        <w:autoSpaceDN w:val="0"/>
        <w:adjustRightInd w:val="0"/>
        <w:snapToGrid w:val="0"/>
        <w:spacing w:line="360" w:lineRule="auto"/>
        <w:ind w:firstLine="424" w:firstLineChars="200"/>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 xml:space="preserve">.4.2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完成评标后，应当向</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提交书面评标报告。</w:t>
      </w:r>
    </w:p>
    <w:p w14:paraId="3C527A0C">
      <w:pPr>
        <w:spacing w:line="360" w:lineRule="auto"/>
        <w:rPr>
          <w:rFonts w:hint="eastAsia" w:ascii="宋体" w:hAnsi="宋体" w:eastAsia="宋体" w:cs="Times New Roman"/>
          <w:b/>
          <w:color w:val="auto"/>
          <w:szCs w:val="20"/>
          <w:highlight w:val="none"/>
        </w:rPr>
      </w:pPr>
    </w:p>
    <w:p w14:paraId="4CBD1725">
      <w:pPr>
        <w:rPr>
          <w:rFonts w:ascii="宋体" w:hAnsi="宋体" w:eastAsia="宋体" w:cs="Times New Roman"/>
          <w:b/>
          <w:color w:val="auto"/>
          <w:kern w:val="0"/>
          <w:sz w:val="28"/>
          <w:szCs w:val="28"/>
          <w:highlight w:val="none"/>
          <w:u w:val="none"/>
          <w:lang w:val="en-US" w:eastAsia="zh-CN" w:bidi="ar-SA"/>
        </w:rPr>
      </w:pPr>
      <w:bookmarkStart w:id="461" w:name="招标文件03章02评标办法综合评估法02附件02"/>
      <w:bookmarkEnd w:id="461"/>
      <w:bookmarkStart w:id="462" w:name="招标文件04章合同条款及格式"/>
      <w:bookmarkEnd w:id="462"/>
      <w:bookmarkStart w:id="463" w:name="_Toc230410480"/>
      <w:bookmarkStart w:id="464" w:name="_Toc277082627"/>
      <w:r>
        <w:rPr>
          <w:rFonts w:ascii="宋体" w:hAnsi="宋体" w:eastAsia="宋体" w:cs="Times New Roman"/>
          <w:b/>
          <w:color w:val="auto"/>
          <w:kern w:val="0"/>
          <w:sz w:val="28"/>
          <w:szCs w:val="28"/>
          <w:highlight w:val="none"/>
          <w:u w:val="none"/>
          <w:lang w:val="en-US" w:eastAsia="zh-CN" w:bidi="ar-SA"/>
        </w:rPr>
        <w:br w:type="page"/>
      </w:r>
    </w:p>
    <w:p w14:paraId="45844A67">
      <w:pPr>
        <w:widowControl/>
        <w:spacing w:line="360" w:lineRule="auto"/>
        <w:jc w:val="center"/>
        <w:rPr>
          <w:rFonts w:ascii="宋体" w:hAnsi="宋体" w:eastAsia="宋体" w:cs="Times New Roman"/>
          <w:b/>
          <w:color w:val="auto"/>
          <w:kern w:val="0"/>
          <w:sz w:val="28"/>
          <w:szCs w:val="28"/>
          <w:highlight w:val="none"/>
          <w:u w:val="none"/>
          <w:lang w:val="en-US" w:eastAsia="zh-CN" w:bidi="ar-SA"/>
        </w:rPr>
      </w:pPr>
      <w:r>
        <w:rPr>
          <w:rFonts w:ascii="宋体" w:hAnsi="宋体" w:eastAsia="宋体" w:cs="Times New Roman"/>
          <w:b/>
          <w:color w:val="auto"/>
          <w:kern w:val="0"/>
          <w:sz w:val="28"/>
          <w:szCs w:val="28"/>
          <w:highlight w:val="none"/>
          <w:u w:val="none"/>
          <w:lang w:val="en-US" w:eastAsia="zh-CN" w:bidi="ar-SA"/>
        </w:rPr>
        <w:t>附件A：综合评估法否决投标情况一览表</w:t>
      </w:r>
      <w:bookmarkEnd w:id="463"/>
    </w:p>
    <w:bookmarkEnd w:id="464"/>
    <w:p w14:paraId="38F9519E">
      <w:pPr>
        <w:widowControl/>
        <w:spacing w:line="360" w:lineRule="auto"/>
        <w:ind w:firstLine="420" w:firstLineChars="200"/>
        <w:jc w:val="both"/>
        <w:rPr>
          <w:rFonts w:ascii="宋体" w:hAnsi="宋体" w:eastAsia="宋体" w:cs="Times New Roman"/>
          <w:color w:val="auto"/>
          <w:kern w:val="0"/>
          <w:sz w:val="21"/>
          <w:szCs w:val="21"/>
          <w:highlight w:val="none"/>
          <w:u w:val="none"/>
          <w:lang w:val="en-US" w:eastAsia="zh-CN" w:bidi="ar-SA"/>
        </w:rPr>
      </w:pPr>
      <w:r>
        <w:rPr>
          <w:rFonts w:hint="eastAsia" w:ascii="宋体" w:hAnsi="宋体" w:eastAsia="宋体" w:cs="Times New Roman"/>
          <w:color w:val="auto"/>
          <w:kern w:val="0"/>
          <w:sz w:val="21"/>
          <w:szCs w:val="21"/>
          <w:highlight w:val="none"/>
          <w:u w:val="none"/>
          <w:lang w:val="en-US" w:eastAsia="zh-CN" w:bidi="ar-SA"/>
        </w:rPr>
        <w:t>竞标文件存在本一览表下列情形之一的，竞标文件视为重大偏差并作否决投标处理，否则，评审小组不得视为重大偏差而否决竞标人的竞标文件</w:t>
      </w:r>
      <w:r>
        <w:rPr>
          <w:rFonts w:ascii="宋体" w:hAnsi="宋体" w:eastAsia="宋体" w:cs="Times New Roman"/>
          <w:color w:val="auto"/>
          <w:kern w:val="0"/>
          <w:sz w:val="21"/>
          <w:szCs w:val="21"/>
          <w:highlight w:val="none"/>
          <w:u w:val="none"/>
          <w:lang w:val="en-US" w:eastAsia="zh-CN" w:bidi="ar-SA"/>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883C2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714EED56">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章节号</w:t>
            </w:r>
          </w:p>
        </w:tc>
        <w:tc>
          <w:tcPr>
            <w:tcW w:w="1899" w:type="dxa"/>
            <w:noWrap w:val="0"/>
            <w:vAlign w:val="center"/>
          </w:tcPr>
          <w:p w14:paraId="7D388600">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条款名称</w:t>
            </w:r>
          </w:p>
        </w:tc>
        <w:tc>
          <w:tcPr>
            <w:tcW w:w="6333" w:type="dxa"/>
            <w:noWrap w:val="0"/>
            <w:vAlign w:val="center"/>
          </w:tcPr>
          <w:p w14:paraId="7D953A73">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否决投标条件</w:t>
            </w:r>
          </w:p>
        </w:tc>
      </w:tr>
      <w:tr w14:paraId="7E529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9" w:hRule="atLeast"/>
          <w:tblHeader/>
          <w:jc w:val="center"/>
        </w:trPr>
        <w:tc>
          <w:tcPr>
            <w:tcW w:w="1237" w:type="dxa"/>
            <w:vMerge w:val="restart"/>
            <w:noWrap w:val="0"/>
            <w:vAlign w:val="center"/>
          </w:tcPr>
          <w:p w14:paraId="528E6C08">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50C3D3A1">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资格评审</w:t>
            </w:r>
          </w:p>
        </w:tc>
        <w:tc>
          <w:tcPr>
            <w:tcW w:w="6333" w:type="dxa"/>
            <w:noWrap w:val="0"/>
            <w:vAlign w:val="center"/>
          </w:tcPr>
          <w:p w14:paraId="5DB8B1D4">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的营业执照须满足</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人须知前附表1.4.1项的要求，否则由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7B6CB6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6C2A7176">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9723097">
            <w:pPr>
              <w:spacing w:line="400" w:lineRule="exact"/>
              <w:jc w:val="center"/>
              <w:rPr>
                <w:rFonts w:ascii="宋体" w:hAnsi="宋体" w:eastAsia="宋体" w:cs="Times New Roman"/>
                <w:color w:val="auto"/>
                <w:szCs w:val="21"/>
                <w:highlight w:val="none"/>
              </w:rPr>
            </w:pPr>
          </w:p>
        </w:tc>
        <w:tc>
          <w:tcPr>
            <w:tcW w:w="6333" w:type="dxa"/>
            <w:noWrap w:val="0"/>
            <w:vAlign w:val="center"/>
          </w:tcPr>
          <w:p w14:paraId="77F3287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的投标截止日投标资格情况须满足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0188CE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tblHeader/>
          <w:jc w:val="center"/>
        </w:trPr>
        <w:tc>
          <w:tcPr>
            <w:tcW w:w="1237" w:type="dxa"/>
            <w:vMerge w:val="continue"/>
            <w:noWrap w:val="0"/>
            <w:vAlign w:val="center"/>
          </w:tcPr>
          <w:p w14:paraId="5832CF4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6BB8402">
            <w:pPr>
              <w:spacing w:line="400" w:lineRule="exact"/>
              <w:jc w:val="center"/>
              <w:rPr>
                <w:rFonts w:ascii="宋体" w:hAnsi="宋体" w:eastAsia="宋体" w:cs="Times New Roman"/>
                <w:color w:val="auto"/>
                <w:szCs w:val="21"/>
                <w:highlight w:val="none"/>
              </w:rPr>
            </w:pPr>
          </w:p>
        </w:tc>
        <w:tc>
          <w:tcPr>
            <w:tcW w:w="6333" w:type="dxa"/>
            <w:noWrap w:val="0"/>
            <w:vAlign w:val="center"/>
          </w:tcPr>
          <w:p w14:paraId="6B8A78D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的其他要求须满足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BC871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294EB93">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2080F81C">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形式评审</w:t>
            </w:r>
          </w:p>
        </w:tc>
        <w:tc>
          <w:tcPr>
            <w:tcW w:w="6333" w:type="dxa"/>
            <w:noWrap w:val="0"/>
            <w:vAlign w:val="top"/>
          </w:tcPr>
          <w:p w14:paraId="629D6EE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名称必须与营业执照一致，依法变更名称的应提交相应证明材料，</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05AF6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EA14BBC">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5C2E814">
            <w:pPr>
              <w:spacing w:line="400" w:lineRule="exact"/>
              <w:jc w:val="center"/>
              <w:rPr>
                <w:rFonts w:ascii="宋体" w:hAnsi="宋体" w:eastAsia="宋体" w:cs="Times New Roman"/>
                <w:color w:val="auto"/>
                <w:szCs w:val="21"/>
                <w:highlight w:val="none"/>
              </w:rPr>
            </w:pPr>
          </w:p>
        </w:tc>
        <w:tc>
          <w:tcPr>
            <w:tcW w:w="6333" w:type="dxa"/>
            <w:noWrap w:val="0"/>
            <w:vAlign w:val="top"/>
          </w:tcPr>
          <w:p w14:paraId="27C4C53A">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竞标函</w:t>
            </w:r>
            <w:r>
              <w:rPr>
                <w:rFonts w:hint="eastAsia" w:ascii="宋体" w:hAnsi="宋体" w:eastAsia="宋体" w:cs="Times New Roman"/>
                <w:color w:val="auto"/>
                <w:szCs w:val="21"/>
                <w:highlight w:val="none"/>
              </w:rPr>
              <w:t>格式规定签名、盖章的位置有法定代表人或其委托代理人签名（或盖章）、加盖单位法人章，否则由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643437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CA92B87">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609D2C7">
            <w:pPr>
              <w:spacing w:line="400" w:lineRule="exact"/>
              <w:jc w:val="center"/>
              <w:rPr>
                <w:rFonts w:ascii="宋体" w:hAnsi="宋体" w:eastAsia="宋体" w:cs="Times New Roman"/>
                <w:color w:val="auto"/>
                <w:szCs w:val="21"/>
                <w:highlight w:val="none"/>
              </w:rPr>
            </w:pPr>
          </w:p>
        </w:tc>
        <w:tc>
          <w:tcPr>
            <w:tcW w:w="6333" w:type="dxa"/>
            <w:noWrap w:val="0"/>
            <w:vAlign w:val="top"/>
          </w:tcPr>
          <w:p w14:paraId="347964E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须知”第3.7款的要求，否则由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p w14:paraId="7F6444B9">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编制</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时不得对第</w:t>
            </w:r>
            <w:r>
              <w:rPr>
                <w:rFonts w:hint="eastAsia" w:ascii="宋体" w:hAnsi="宋体" w:cs="Times New Roman"/>
                <w:color w:val="auto"/>
                <w:kern w:val="0"/>
                <w:szCs w:val="21"/>
                <w:highlight w:val="none"/>
                <w:lang w:val="en-US" w:eastAsia="zh-CN"/>
              </w:rPr>
              <w:t>六</w:t>
            </w:r>
            <w:r>
              <w:rPr>
                <w:rFonts w:hint="eastAsia" w:ascii="宋体" w:hAnsi="宋体" w:eastAsia="宋体" w:cs="Times New Roman"/>
                <w:color w:val="auto"/>
                <w:kern w:val="0"/>
                <w:szCs w:val="21"/>
                <w:highlight w:val="none"/>
              </w:rPr>
              <w:t>章“</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格式”的相应要素作实质性修改，否则由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4CE1E1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5F9FBB4">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1576084D">
            <w:pPr>
              <w:spacing w:line="400" w:lineRule="exact"/>
              <w:jc w:val="center"/>
              <w:rPr>
                <w:rFonts w:ascii="宋体" w:hAnsi="宋体" w:eastAsia="宋体" w:cs="Times New Roman"/>
                <w:color w:val="auto"/>
                <w:szCs w:val="21"/>
                <w:highlight w:val="none"/>
              </w:rPr>
            </w:pPr>
          </w:p>
        </w:tc>
        <w:tc>
          <w:tcPr>
            <w:tcW w:w="6333" w:type="dxa"/>
            <w:noWrap w:val="0"/>
            <w:vAlign w:val="top"/>
          </w:tcPr>
          <w:p w14:paraId="0CCF635F">
            <w:pPr>
              <w:autoSpaceDE w:val="0"/>
              <w:autoSpaceDN w:val="0"/>
              <w:adjustRightInd w:val="0"/>
              <w:snapToGrid w:val="0"/>
              <w:spacing w:line="400" w:lineRule="exact"/>
              <w:ind w:firstLine="420" w:firstLineChars="200"/>
              <w:rPr>
                <w:rFonts w:ascii="宋体" w:hAnsi="宋体" w:eastAsia="宋体" w:cs="Times New Roman"/>
                <w:i/>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份数符合第二章“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须知”第3.7.4项的规定，</w:t>
            </w:r>
            <w:r>
              <w:rPr>
                <w:rFonts w:hint="eastAsia" w:ascii="宋体" w:hAnsi="宋体" w:eastAsia="宋体" w:cs="Times New Roman"/>
                <w:color w:val="auto"/>
                <w:kern w:val="0"/>
                <w:szCs w:val="21"/>
                <w:highlight w:val="none"/>
              </w:rPr>
              <w:t>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69F15B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582E636">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6ADF2DE">
            <w:pPr>
              <w:spacing w:line="400" w:lineRule="exact"/>
              <w:jc w:val="center"/>
              <w:rPr>
                <w:rFonts w:ascii="宋体" w:hAnsi="宋体" w:eastAsia="宋体" w:cs="Times New Roman"/>
                <w:color w:val="auto"/>
                <w:szCs w:val="21"/>
                <w:highlight w:val="none"/>
              </w:rPr>
            </w:pPr>
          </w:p>
        </w:tc>
        <w:tc>
          <w:tcPr>
            <w:tcW w:w="6333" w:type="dxa"/>
            <w:noWrap w:val="0"/>
            <w:vAlign w:val="top"/>
          </w:tcPr>
          <w:p w14:paraId="22702D5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只能有一个有效报价。在招标文件没有规定的情况下，不得提交选择性报价，否则由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6365A7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E20D09F">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D4CAE61">
            <w:pPr>
              <w:spacing w:line="400" w:lineRule="exact"/>
              <w:jc w:val="center"/>
              <w:rPr>
                <w:rFonts w:ascii="宋体" w:hAnsi="宋体" w:eastAsia="宋体" w:cs="Times New Roman"/>
                <w:color w:val="auto"/>
                <w:szCs w:val="21"/>
                <w:highlight w:val="none"/>
              </w:rPr>
            </w:pPr>
          </w:p>
        </w:tc>
        <w:tc>
          <w:tcPr>
            <w:tcW w:w="6333" w:type="dxa"/>
            <w:noWrap w:val="0"/>
            <w:vAlign w:val="top"/>
          </w:tcPr>
          <w:p w14:paraId="23BFA731">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9</w:t>
            </w:r>
            <w:r>
              <w:rPr>
                <w:rFonts w:hint="eastAsia" w:ascii="宋体" w:hAnsi="宋体" w:eastAsia="宋体" w:cs="宋体"/>
                <w:color w:val="auto"/>
                <w:kern w:val="0"/>
                <w:highlight w:val="none"/>
              </w:rPr>
              <w:t>第</w:t>
            </w:r>
            <w:r>
              <w:rPr>
                <w:rFonts w:hint="eastAsia" w:ascii="宋体" w:hAnsi="宋体" w:cs="宋体"/>
                <w:color w:val="auto"/>
                <w:kern w:val="0"/>
                <w:highlight w:val="none"/>
                <w:lang w:val="en-US" w:eastAsia="zh-CN"/>
              </w:rPr>
              <w:t>六</w:t>
            </w:r>
            <w:r>
              <w:rPr>
                <w:rFonts w:hint="eastAsia" w:ascii="宋体" w:hAnsi="宋体" w:eastAsia="宋体" w:cs="宋体"/>
                <w:color w:val="auto"/>
                <w:kern w:val="0"/>
                <w:highlight w:val="none"/>
              </w:rPr>
              <w:t xml:space="preserve">章 </w:t>
            </w:r>
            <w:r>
              <w:rPr>
                <w:rFonts w:hint="eastAsia" w:ascii="宋体" w:hAnsi="宋体" w:eastAsia="宋体" w:cs="宋体"/>
                <w:color w:val="auto"/>
                <w:kern w:val="0"/>
                <w:highlight w:val="none"/>
                <w:lang w:eastAsia="zh-CN"/>
              </w:rPr>
              <w:t>竞标文件</w:t>
            </w:r>
            <w:r>
              <w:rPr>
                <w:rFonts w:hint="eastAsia" w:ascii="宋体" w:hAnsi="宋体" w:eastAsia="宋体" w:cs="宋体"/>
                <w:color w:val="auto"/>
                <w:kern w:val="0"/>
                <w:highlight w:val="none"/>
              </w:rPr>
              <w:t>格式要求法定代表人或其委托代理人签名（或盖章）的须齐全。</w:t>
            </w:r>
          </w:p>
        </w:tc>
      </w:tr>
      <w:tr w14:paraId="7B09BA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C8D0A4B">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1B0091E">
            <w:pPr>
              <w:spacing w:line="400" w:lineRule="exact"/>
              <w:jc w:val="center"/>
              <w:rPr>
                <w:rFonts w:ascii="宋体" w:hAnsi="宋体" w:eastAsia="宋体" w:cs="Times New Roman"/>
                <w:color w:val="auto"/>
                <w:szCs w:val="21"/>
                <w:highlight w:val="none"/>
              </w:rPr>
            </w:pPr>
          </w:p>
        </w:tc>
        <w:tc>
          <w:tcPr>
            <w:tcW w:w="6333" w:type="dxa"/>
            <w:noWrap w:val="0"/>
            <w:vAlign w:val="top"/>
          </w:tcPr>
          <w:p w14:paraId="3ED6153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法定代表人的委托代理人有法定代表人签署的授权委托书和</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为其缴纳的养老保险证明材料，否则由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12F0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237" w:type="dxa"/>
            <w:vMerge w:val="continue"/>
            <w:noWrap w:val="0"/>
            <w:vAlign w:val="center"/>
          </w:tcPr>
          <w:p w14:paraId="685BF2E2">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13157526">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响应性评审</w:t>
            </w:r>
          </w:p>
        </w:tc>
        <w:tc>
          <w:tcPr>
            <w:tcW w:w="6333" w:type="dxa"/>
            <w:noWrap w:val="0"/>
            <w:vAlign w:val="center"/>
          </w:tcPr>
          <w:p w14:paraId="2FB93FE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投标总报价不得高于</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公布的投标总报价最高限价，否则由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CBADB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37" w:type="dxa"/>
            <w:vMerge w:val="continue"/>
            <w:noWrap w:val="0"/>
            <w:vAlign w:val="center"/>
          </w:tcPr>
          <w:p w14:paraId="52E272CC">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3556FFD">
            <w:pPr>
              <w:spacing w:line="400" w:lineRule="exact"/>
              <w:jc w:val="center"/>
              <w:rPr>
                <w:rFonts w:ascii="宋体" w:hAnsi="宋体" w:eastAsia="宋体" w:cs="Times New Roman"/>
                <w:color w:val="auto"/>
                <w:szCs w:val="21"/>
                <w:highlight w:val="none"/>
              </w:rPr>
            </w:pPr>
          </w:p>
        </w:tc>
        <w:tc>
          <w:tcPr>
            <w:tcW w:w="6333" w:type="dxa"/>
            <w:noWrap w:val="0"/>
            <w:vAlign w:val="center"/>
          </w:tcPr>
          <w:p w14:paraId="65E8F00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投标内容符合第二章“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0FA4FF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A04537A">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7608B71">
            <w:pPr>
              <w:spacing w:line="400" w:lineRule="exact"/>
              <w:jc w:val="center"/>
              <w:rPr>
                <w:rFonts w:ascii="宋体" w:hAnsi="宋体" w:eastAsia="宋体" w:cs="Times New Roman"/>
                <w:color w:val="auto"/>
                <w:szCs w:val="21"/>
                <w:highlight w:val="none"/>
              </w:rPr>
            </w:pPr>
          </w:p>
        </w:tc>
        <w:tc>
          <w:tcPr>
            <w:tcW w:w="6333" w:type="dxa"/>
            <w:noWrap w:val="0"/>
            <w:vAlign w:val="center"/>
          </w:tcPr>
          <w:p w14:paraId="6A2B66B4">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rPr>
              <w:t>工期符合第二章“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须知”第1.3.2项规定，否则由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74CCBB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07D11F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57AAE53">
            <w:pPr>
              <w:spacing w:line="400" w:lineRule="exact"/>
              <w:jc w:val="center"/>
              <w:rPr>
                <w:rFonts w:ascii="宋体" w:hAnsi="宋体" w:eastAsia="宋体" w:cs="Times New Roman"/>
                <w:color w:val="auto"/>
                <w:szCs w:val="21"/>
                <w:highlight w:val="none"/>
              </w:rPr>
            </w:pPr>
          </w:p>
        </w:tc>
        <w:tc>
          <w:tcPr>
            <w:tcW w:w="6333" w:type="dxa"/>
            <w:noWrap w:val="0"/>
            <w:vAlign w:val="center"/>
          </w:tcPr>
          <w:p w14:paraId="54D99CF5">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14</w:t>
            </w:r>
            <w:r>
              <w:rPr>
                <w:rFonts w:hint="eastAsia" w:ascii="宋体" w:hAnsi="宋体" w:eastAsia="宋体" w:cs="Times New Roman"/>
                <w:color w:val="auto"/>
                <w:szCs w:val="21"/>
                <w:highlight w:val="none"/>
              </w:rPr>
              <w:t>工程质量符合第二章“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须知”第1.3.3项规定，否则由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6B5DC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559DD09">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1CCFBCD">
            <w:pPr>
              <w:spacing w:line="400" w:lineRule="exact"/>
              <w:jc w:val="center"/>
              <w:rPr>
                <w:rFonts w:ascii="宋体" w:hAnsi="宋体" w:eastAsia="宋体" w:cs="Times New Roman"/>
                <w:color w:val="auto"/>
                <w:szCs w:val="21"/>
                <w:highlight w:val="none"/>
              </w:rPr>
            </w:pPr>
          </w:p>
        </w:tc>
        <w:tc>
          <w:tcPr>
            <w:tcW w:w="6333" w:type="dxa"/>
            <w:noWrap w:val="0"/>
            <w:vAlign w:val="center"/>
          </w:tcPr>
          <w:p w14:paraId="1C84669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15</w:t>
            </w:r>
            <w:r>
              <w:rPr>
                <w:rFonts w:hint="eastAsia" w:ascii="宋体" w:hAnsi="宋体" w:eastAsia="宋体" w:cs="Times New Roman"/>
                <w:color w:val="auto"/>
                <w:szCs w:val="21"/>
                <w:highlight w:val="none"/>
              </w:rPr>
              <w:t>投标有效期符合第二章“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4D2F0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5835E9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049D846">
            <w:pPr>
              <w:spacing w:line="400" w:lineRule="exact"/>
              <w:jc w:val="center"/>
              <w:rPr>
                <w:rFonts w:ascii="宋体" w:hAnsi="宋体" w:eastAsia="宋体" w:cs="Times New Roman"/>
                <w:color w:val="auto"/>
                <w:szCs w:val="21"/>
                <w:highlight w:val="none"/>
              </w:rPr>
            </w:pPr>
          </w:p>
        </w:tc>
        <w:tc>
          <w:tcPr>
            <w:tcW w:w="6333" w:type="dxa"/>
            <w:noWrap w:val="0"/>
            <w:vAlign w:val="center"/>
          </w:tcPr>
          <w:p w14:paraId="34A25164">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16</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须知前附表</w:t>
            </w:r>
            <w:r>
              <w:rPr>
                <w:rFonts w:hint="eastAsia" w:ascii="宋体" w:hAnsi="宋体" w:eastAsia="宋体" w:cs="Times New Roman"/>
                <w:color w:val="auto"/>
                <w:szCs w:val="21"/>
                <w:highlight w:val="none"/>
              </w:rPr>
              <w:t>第3.4款的</w:t>
            </w:r>
            <w:r>
              <w:rPr>
                <w:rFonts w:ascii="宋体" w:hAnsi="宋体" w:eastAsia="宋体" w:cs="Times New Roman"/>
                <w:color w:val="auto"/>
                <w:szCs w:val="21"/>
                <w:highlight w:val="none"/>
              </w:rPr>
              <w:t>规定递交投标保证金，并作为其</w:t>
            </w:r>
            <w:r>
              <w:rPr>
                <w:rFonts w:hint="eastAsia" w:ascii="宋体" w:hAnsi="宋体" w:eastAsia="宋体" w:cs="Times New Roman"/>
                <w:color w:val="auto"/>
                <w:szCs w:val="21"/>
                <w:highlight w:val="none"/>
                <w:lang w:eastAsia="zh-CN"/>
              </w:rPr>
              <w:t>竞标文件</w:t>
            </w:r>
            <w:r>
              <w:rPr>
                <w:rFonts w:ascii="宋体" w:hAnsi="宋体" w:eastAsia="宋体" w:cs="Times New Roman"/>
                <w:color w:val="auto"/>
                <w:szCs w:val="21"/>
                <w:highlight w:val="none"/>
              </w:rPr>
              <w:t>的组成部分</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5E58C0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01B09A3">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16D504E2">
            <w:pPr>
              <w:spacing w:line="400" w:lineRule="exact"/>
              <w:jc w:val="center"/>
              <w:rPr>
                <w:rFonts w:ascii="宋体" w:hAnsi="宋体" w:eastAsia="宋体" w:cs="Times New Roman"/>
                <w:color w:val="auto"/>
                <w:szCs w:val="21"/>
                <w:highlight w:val="none"/>
              </w:rPr>
            </w:pPr>
          </w:p>
        </w:tc>
        <w:tc>
          <w:tcPr>
            <w:tcW w:w="6333" w:type="dxa"/>
            <w:noWrap w:val="0"/>
            <w:vAlign w:val="center"/>
          </w:tcPr>
          <w:p w14:paraId="2E89094A">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17</w:t>
            </w:r>
            <w:r>
              <w:rPr>
                <w:rFonts w:hint="eastAsia" w:ascii="宋体" w:hAnsi="宋体" w:eastAsia="宋体" w:cs="Times New Roman"/>
                <w:color w:val="auto"/>
                <w:szCs w:val="21"/>
                <w:highlight w:val="none"/>
              </w:rPr>
              <w:t>符合第四章“合同条款及格式”规定，</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不应附有</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不能接受的条件，否则由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承诺，承诺书格式详见第</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0679C7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CB052DD">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9645990">
            <w:pPr>
              <w:spacing w:line="400" w:lineRule="exact"/>
              <w:jc w:val="center"/>
              <w:rPr>
                <w:rFonts w:ascii="宋体" w:hAnsi="宋体" w:eastAsia="宋体" w:cs="Times New Roman"/>
                <w:color w:val="auto"/>
                <w:szCs w:val="21"/>
                <w:highlight w:val="none"/>
              </w:rPr>
            </w:pPr>
          </w:p>
        </w:tc>
        <w:tc>
          <w:tcPr>
            <w:tcW w:w="6333" w:type="dxa"/>
            <w:noWrap w:val="0"/>
            <w:vAlign w:val="center"/>
          </w:tcPr>
          <w:p w14:paraId="052C397C">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18</w:t>
            </w:r>
            <w:r>
              <w:rPr>
                <w:rFonts w:hint="eastAsia" w:ascii="宋体" w:hAnsi="宋体" w:eastAsia="宋体" w:cs="Times New Roman"/>
                <w:color w:val="auto"/>
                <w:szCs w:val="21"/>
                <w:highlight w:val="none"/>
              </w:rPr>
              <w:t>符合第</w:t>
            </w:r>
            <w:r>
              <w:rPr>
                <w:rFonts w:hint="eastAsia" w:ascii="宋体" w:hAnsi="宋体" w:cs="Times New Roman"/>
                <w:color w:val="auto"/>
                <w:szCs w:val="21"/>
                <w:highlight w:val="none"/>
                <w:lang w:val="en-US" w:eastAsia="zh-CN"/>
              </w:rPr>
              <w:t>五</w:t>
            </w:r>
            <w:r>
              <w:rPr>
                <w:rFonts w:hint="eastAsia" w:ascii="宋体" w:hAnsi="宋体" w:eastAsia="宋体" w:cs="Times New Roman"/>
                <w:color w:val="auto"/>
                <w:szCs w:val="21"/>
                <w:highlight w:val="none"/>
              </w:rPr>
              <w:t>章“技术标准和要求”规定。否则由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作否决投标处理（如有）。（由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承诺，承诺书格式详见第</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61F054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237" w:type="dxa"/>
            <w:vMerge w:val="continue"/>
            <w:noWrap w:val="0"/>
            <w:vAlign w:val="center"/>
          </w:tcPr>
          <w:p w14:paraId="38ACE5E4">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2DA8C18F">
            <w:pPr>
              <w:spacing w:line="400" w:lineRule="exact"/>
              <w:jc w:val="center"/>
              <w:rPr>
                <w:rFonts w:ascii="宋体" w:hAnsi="宋体" w:eastAsia="宋体" w:cs="Times New Roman"/>
                <w:color w:val="auto"/>
                <w:szCs w:val="21"/>
                <w:highlight w:val="none"/>
              </w:rPr>
            </w:pPr>
          </w:p>
        </w:tc>
        <w:tc>
          <w:tcPr>
            <w:tcW w:w="6333" w:type="dxa"/>
            <w:noWrap w:val="0"/>
            <w:vAlign w:val="center"/>
          </w:tcPr>
          <w:p w14:paraId="57518259">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竞标报价</w:t>
            </w:r>
            <w:r>
              <w:rPr>
                <w:rFonts w:hint="eastAsia" w:ascii="宋体" w:hAnsi="宋体" w:eastAsia="宋体" w:cs="Times New Roman"/>
                <w:color w:val="auto"/>
                <w:szCs w:val="21"/>
                <w:highlight w:val="none"/>
              </w:rPr>
              <w:t>有算术错误的，按照第三章“评标办法”第3.1.3项规定执行，否则由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r>
              <w:rPr>
                <w:rFonts w:ascii="宋体" w:hAnsi="宋体" w:eastAsia="宋体" w:cs="Times New Roman"/>
                <w:color w:val="auto"/>
                <w:szCs w:val="21"/>
                <w:highlight w:val="none"/>
              </w:rPr>
              <w:t>。</w:t>
            </w:r>
          </w:p>
        </w:tc>
      </w:tr>
      <w:tr w14:paraId="7806D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69C43A7">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7F8D476">
            <w:pPr>
              <w:spacing w:line="400" w:lineRule="exact"/>
              <w:jc w:val="center"/>
              <w:rPr>
                <w:rFonts w:ascii="宋体" w:hAnsi="宋体" w:eastAsia="宋体" w:cs="Times New Roman"/>
                <w:color w:val="auto"/>
                <w:szCs w:val="21"/>
                <w:highlight w:val="none"/>
              </w:rPr>
            </w:pPr>
          </w:p>
        </w:tc>
        <w:tc>
          <w:tcPr>
            <w:tcW w:w="6333" w:type="dxa"/>
            <w:noWrap w:val="0"/>
            <w:vAlign w:val="center"/>
          </w:tcPr>
          <w:p w14:paraId="2E42494F">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有以下情形之一的，其</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r>
              <w:rPr>
                <w:rFonts w:hint="eastAsia" w:ascii="宋体" w:hAnsi="宋体" w:eastAsia="宋体" w:cs="Times New Roman"/>
                <w:color w:val="auto"/>
                <w:szCs w:val="21"/>
                <w:highlight w:val="none"/>
              </w:rPr>
              <w:t>：</w:t>
            </w:r>
          </w:p>
          <w:p w14:paraId="10AE81E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须知”第1.4.3项规定的任何一种情形的；</w:t>
            </w:r>
          </w:p>
          <w:p w14:paraId="28E6F75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2.本次投标有串通投标、弄虚作假等违反招投标相关法律、法规的行为的；</w:t>
            </w:r>
          </w:p>
          <w:p w14:paraId="22DBC40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3.拒绝按</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要求澄清、说明或补正的。</w:t>
            </w:r>
          </w:p>
        </w:tc>
      </w:tr>
      <w:tr w14:paraId="1B894A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39D42EBB">
            <w:pPr>
              <w:spacing w:line="400" w:lineRule="exact"/>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其他</w:t>
            </w:r>
          </w:p>
        </w:tc>
        <w:tc>
          <w:tcPr>
            <w:tcW w:w="1899" w:type="dxa"/>
            <w:noWrap w:val="0"/>
            <w:vAlign w:val="center"/>
          </w:tcPr>
          <w:p w14:paraId="43E1B8A8">
            <w:pPr>
              <w:spacing w:line="400" w:lineRule="exact"/>
              <w:jc w:val="center"/>
              <w:rPr>
                <w:rFonts w:ascii="宋体" w:hAnsi="宋体" w:eastAsia="宋体" w:cs="Times New Roman"/>
                <w:color w:val="auto"/>
                <w:szCs w:val="21"/>
                <w:highlight w:val="none"/>
              </w:rPr>
            </w:pPr>
          </w:p>
        </w:tc>
        <w:tc>
          <w:tcPr>
            <w:tcW w:w="6333" w:type="dxa"/>
            <w:noWrap w:val="0"/>
            <w:vAlign w:val="top"/>
          </w:tcPr>
          <w:p w14:paraId="76B97621">
            <w:pPr>
              <w:spacing w:line="400" w:lineRule="exact"/>
              <w:ind w:firstLine="420" w:firstLineChars="200"/>
              <w:rPr>
                <w:rFonts w:hint="eastAsia" w:ascii="宋体" w:hAnsi="宋体" w:eastAsia="宋体" w:cs="Times New Roman"/>
                <w:i/>
                <w:color w:val="auto"/>
                <w:szCs w:val="21"/>
                <w:highlight w:val="none"/>
                <w:lang w:eastAsia="zh-CN"/>
              </w:rPr>
            </w:pPr>
            <w:r>
              <w:rPr>
                <w:rFonts w:hint="eastAsia" w:ascii="宋体" w:hAnsi="宋体" w:eastAsia="宋体" w:cs="Times New Roman"/>
                <w:i w:val="0"/>
                <w:iCs/>
                <w:color w:val="auto"/>
                <w:szCs w:val="21"/>
                <w:highlight w:val="none"/>
                <w:lang w:val="en-US" w:eastAsia="zh-CN"/>
              </w:rPr>
              <w:t>无</w:t>
            </w:r>
          </w:p>
        </w:tc>
      </w:tr>
    </w:tbl>
    <w:p w14:paraId="23DF203D">
      <w:pPr>
        <w:rPr>
          <w:rFonts w:hint="eastAsia" w:ascii="宋体" w:hAnsi="宋体"/>
          <w:color w:val="auto"/>
          <w:kern w:val="0"/>
          <w:highlight w:val="none"/>
        </w:rPr>
      </w:pPr>
      <w:r>
        <w:rPr>
          <w:rFonts w:hint="eastAsia" w:ascii="宋体" w:hAnsi="宋体"/>
          <w:color w:val="auto"/>
          <w:kern w:val="0"/>
          <w:highlight w:val="none"/>
        </w:rPr>
        <w:br w:type="page"/>
      </w:r>
    </w:p>
    <w:p w14:paraId="135FA999">
      <w:pPr>
        <w:pStyle w:val="4"/>
        <w:spacing w:line="360" w:lineRule="auto"/>
        <w:jc w:val="center"/>
        <w:rPr>
          <w:rFonts w:ascii="宋体" w:hAnsi="宋体"/>
          <w:color w:val="auto"/>
          <w:kern w:val="0"/>
          <w:highlight w:val="none"/>
        </w:rPr>
      </w:pPr>
      <w:bookmarkStart w:id="465" w:name="_Toc16777"/>
      <w:r>
        <w:rPr>
          <w:rFonts w:hint="eastAsia" w:ascii="宋体" w:hAnsi="宋体"/>
          <w:color w:val="auto"/>
          <w:kern w:val="0"/>
          <w:highlight w:val="none"/>
        </w:rPr>
        <w:t>第四章  合同条款及格式</w:t>
      </w:r>
      <w:bookmarkEnd w:id="369"/>
      <w:bookmarkEnd w:id="370"/>
      <w:bookmarkEnd w:id="371"/>
      <w:bookmarkEnd w:id="465"/>
    </w:p>
    <w:p w14:paraId="3912A3E4">
      <w:pPr>
        <w:bidi w:val="0"/>
        <w:rPr>
          <w:rFonts w:hint="eastAsia" w:asciiTheme="minorEastAsia" w:hAnsiTheme="minorEastAsia" w:eastAsiaTheme="minorEastAsia" w:cstheme="minorEastAsia"/>
          <w:color w:val="auto"/>
          <w:sz w:val="28"/>
          <w:szCs w:val="28"/>
          <w:highlight w:val="none"/>
          <w:lang w:val="en-US" w:eastAsia="zh-CN"/>
        </w:rPr>
      </w:pPr>
      <w:r>
        <w:rPr>
          <w:rFonts w:ascii="宋体" w:hAnsi="宋体"/>
          <w:color w:val="auto"/>
          <w:highlight w:val="none"/>
        </w:rPr>
        <w:br w:type="page"/>
      </w:r>
      <w:bookmarkStart w:id="466" w:name="招标文件06章图纸01"/>
      <w:bookmarkEnd w:id="466"/>
      <w:bookmarkStart w:id="467" w:name="_Toc287620804"/>
      <w:bookmarkStart w:id="468" w:name="_Toc430530520"/>
      <w:bookmarkStart w:id="469" w:name="_Toc351203480"/>
      <w:bookmarkStart w:id="470" w:name="_Toc296890982"/>
      <w:bookmarkStart w:id="471" w:name="_Toc296503025"/>
      <w:r>
        <w:rPr>
          <w:rFonts w:hint="eastAsia" w:asciiTheme="minorEastAsia" w:hAnsiTheme="minorEastAsia" w:eastAsiaTheme="minorEastAsia" w:cstheme="minorEastAsia"/>
          <w:color w:val="auto"/>
          <w:sz w:val="28"/>
          <w:szCs w:val="28"/>
          <w:highlight w:val="none"/>
          <w:lang w:val="en-US" w:eastAsia="zh-CN"/>
        </w:rPr>
        <w:t>合同编号：</w:t>
      </w:r>
    </w:p>
    <w:p w14:paraId="61E30839">
      <w:pPr>
        <w:pStyle w:val="4"/>
        <w:bidi w:val="0"/>
        <w:jc w:val="center"/>
        <w:rPr>
          <w:rFonts w:hint="eastAsia" w:asciiTheme="minorEastAsia" w:hAnsiTheme="minorEastAsia" w:eastAsiaTheme="minorEastAsia" w:cstheme="minorEastAsia"/>
          <w:color w:val="auto"/>
          <w:highlight w:val="none"/>
          <w:lang w:val="en-US" w:eastAsia="zh-CN"/>
        </w:rPr>
      </w:pPr>
    </w:p>
    <w:p w14:paraId="649ABAD4">
      <w:pPr>
        <w:pStyle w:val="4"/>
        <w:bidi w:val="0"/>
        <w:jc w:val="center"/>
        <w:rPr>
          <w:rFonts w:hint="eastAsia" w:asciiTheme="minorEastAsia" w:hAnsiTheme="minorEastAsia" w:eastAsiaTheme="minorEastAsia" w:cstheme="minorEastAsia"/>
          <w:color w:val="auto"/>
          <w:highlight w:val="none"/>
          <w:lang w:val="en-US" w:eastAsia="zh-CN"/>
        </w:rPr>
      </w:pPr>
    </w:p>
    <w:p w14:paraId="2D54D819">
      <w:pPr>
        <w:pStyle w:val="4"/>
        <w:bidi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广阳湾</w:t>
      </w:r>
      <w:r>
        <w:rPr>
          <w:rFonts w:hint="eastAsia" w:asciiTheme="minorEastAsia" w:hAnsiTheme="minorEastAsia" w:eastAsiaTheme="minorEastAsia" w:cstheme="minorEastAsia"/>
          <w:color w:val="auto"/>
          <w:highlight w:val="none"/>
          <w:lang w:val="en-US" w:eastAsia="zh-CN"/>
        </w:rPr>
        <w:t>通江人才社区</w:t>
      </w:r>
      <w:r>
        <w:rPr>
          <w:rFonts w:hint="eastAsia" w:asciiTheme="minorEastAsia" w:hAnsiTheme="minorEastAsia" w:cstheme="minorEastAsia"/>
          <w:color w:val="auto"/>
          <w:highlight w:val="none"/>
          <w:lang w:val="en-US" w:eastAsia="zh-CN"/>
        </w:rPr>
        <w:t>（一期）项目品牌设计及营销</w:t>
      </w:r>
      <w:r>
        <w:rPr>
          <w:rFonts w:hint="eastAsia" w:asciiTheme="minorEastAsia" w:hAnsiTheme="minorEastAsia" w:eastAsiaTheme="minorEastAsia" w:cstheme="minorEastAsia"/>
          <w:color w:val="auto"/>
          <w:highlight w:val="none"/>
          <w:lang w:val="en-US" w:eastAsia="zh-CN"/>
        </w:rPr>
        <w:t>服务合同</w:t>
      </w:r>
    </w:p>
    <w:p w14:paraId="65338806">
      <w:pPr>
        <w:rPr>
          <w:rFonts w:hint="eastAsia" w:asciiTheme="minorEastAsia" w:hAnsiTheme="minorEastAsia" w:eastAsiaTheme="minorEastAsia" w:cstheme="minorEastAsia"/>
          <w:color w:val="auto"/>
          <w:highlight w:val="none"/>
          <w:lang w:val="en-US" w:eastAsia="zh-CN"/>
        </w:rPr>
      </w:pPr>
    </w:p>
    <w:p w14:paraId="2808E1E7">
      <w:pPr>
        <w:bidi w:val="0"/>
        <w:rPr>
          <w:rFonts w:hint="eastAsia" w:asciiTheme="minorEastAsia" w:hAnsiTheme="minorEastAsia" w:eastAsiaTheme="minorEastAsia" w:cstheme="minorEastAsia"/>
          <w:color w:val="auto"/>
          <w:kern w:val="2"/>
          <w:sz w:val="21"/>
          <w:szCs w:val="24"/>
          <w:highlight w:val="none"/>
          <w:lang w:val="en-US" w:eastAsia="zh-CN" w:bidi="ar-SA"/>
        </w:rPr>
      </w:pPr>
    </w:p>
    <w:p w14:paraId="57453D73">
      <w:pPr>
        <w:bidi w:val="0"/>
        <w:rPr>
          <w:rFonts w:hint="eastAsia" w:asciiTheme="minorEastAsia" w:hAnsiTheme="minorEastAsia" w:eastAsiaTheme="minorEastAsia" w:cstheme="minorEastAsia"/>
          <w:color w:val="auto"/>
          <w:highlight w:val="none"/>
          <w:lang w:val="en-US" w:eastAsia="zh-CN"/>
        </w:rPr>
      </w:pPr>
    </w:p>
    <w:p w14:paraId="15A7D50C">
      <w:pPr>
        <w:bidi w:val="0"/>
        <w:rPr>
          <w:rFonts w:hint="eastAsia" w:asciiTheme="minorEastAsia" w:hAnsiTheme="minorEastAsia" w:eastAsiaTheme="minorEastAsia" w:cstheme="minorEastAsia"/>
          <w:color w:val="auto"/>
          <w:highlight w:val="none"/>
          <w:lang w:val="en-US" w:eastAsia="zh-CN"/>
        </w:rPr>
      </w:pPr>
    </w:p>
    <w:p w14:paraId="6DBCC158">
      <w:pPr>
        <w:bidi w:val="0"/>
        <w:rPr>
          <w:rFonts w:hint="eastAsia" w:asciiTheme="minorEastAsia" w:hAnsiTheme="minorEastAsia" w:eastAsiaTheme="minorEastAsia" w:cstheme="minorEastAsia"/>
          <w:color w:val="auto"/>
          <w:highlight w:val="none"/>
          <w:lang w:val="en-US" w:eastAsia="zh-CN"/>
        </w:rPr>
      </w:pPr>
    </w:p>
    <w:p w14:paraId="05461C5B">
      <w:pPr>
        <w:bidi w:val="0"/>
        <w:rPr>
          <w:rFonts w:hint="eastAsia" w:asciiTheme="minorEastAsia" w:hAnsiTheme="minorEastAsia" w:eastAsiaTheme="minorEastAsia" w:cstheme="minorEastAsia"/>
          <w:color w:val="auto"/>
          <w:highlight w:val="none"/>
          <w:lang w:val="en-US" w:eastAsia="zh-CN"/>
        </w:rPr>
      </w:pPr>
    </w:p>
    <w:p w14:paraId="0BD81C61">
      <w:pPr>
        <w:bidi w:val="0"/>
        <w:rPr>
          <w:rFonts w:hint="eastAsia" w:asciiTheme="minorEastAsia" w:hAnsiTheme="minorEastAsia" w:eastAsiaTheme="minorEastAsia" w:cstheme="minorEastAsia"/>
          <w:color w:val="auto"/>
          <w:highlight w:val="none"/>
          <w:lang w:val="en-US" w:eastAsia="zh-CN"/>
        </w:rPr>
      </w:pPr>
    </w:p>
    <w:p w14:paraId="680FA7A4">
      <w:pPr>
        <w:bidi w:val="0"/>
        <w:rPr>
          <w:rFonts w:hint="eastAsia" w:asciiTheme="minorEastAsia" w:hAnsiTheme="minorEastAsia" w:eastAsiaTheme="minorEastAsia" w:cstheme="minorEastAsia"/>
          <w:color w:val="auto"/>
          <w:highlight w:val="none"/>
          <w:lang w:val="en-US" w:eastAsia="zh-CN"/>
        </w:rPr>
      </w:pPr>
    </w:p>
    <w:p w14:paraId="3F5FE2A2">
      <w:pPr>
        <w:bidi w:val="0"/>
        <w:rPr>
          <w:rFonts w:hint="eastAsia" w:asciiTheme="minorEastAsia" w:hAnsiTheme="minorEastAsia" w:eastAsiaTheme="minorEastAsia" w:cstheme="minorEastAsia"/>
          <w:color w:val="auto"/>
          <w:highlight w:val="none"/>
          <w:lang w:val="en-US" w:eastAsia="zh-CN"/>
        </w:rPr>
      </w:pPr>
    </w:p>
    <w:p w14:paraId="4488E862">
      <w:pPr>
        <w:bidi w:val="0"/>
        <w:rPr>
          <w:rFonts w:hint="eastAsia" w:asciiTheme="minorEastAsia" w:hAnsiTheme="minorEastAsia" w:eastAsiaTheme="minorEastAsia" w:cstheme="minorEastAsia"/>
          <w:color w:val="auto"/>
          <w:highlight w:val="none"/>
          <w:lang w:val="en-US" w:eastAsia="zh-CN"/>
        </w:rPr>
      </w:pPr>
    </w:p>
    <w:p w14:paraId="761291E6">
      <w:pPr>
        <w:bidi w:val="0"/>
        <w:rPr>
          <w:rFonts w:hint="eastAsia" w:asciiTheme="minorEastAsia" w:hAnsiTheme="minorEastAsia" w:eastAsiaTheme="minorEastAsia" w:cstheme="minorEastAsia"/>
          <w:color w:val="auto"/>
          <w:highlight w:val="none"/>
          <w:lang w:val="en-US" w:eastAsia="zh-CN"/>
        </w:rPr>
      </w:pPr>
    </w:p>
    <w:p w14:paraId="0775BC9E">
      <w:pPr>
        <w:bidi w:val="0"/>
        <w:rPr>
          <w:rFonts w:hint="eastAsia" w:asciiTheme="minorEastAsia" w:hAnsiTheme="minorEastAsia" w:eastAsiaTheme="minorEastAsia" w:cstheme="minorEastAsia"/>
          <w:color w:val="auto"/>
          <w:highlight w:val="none"/>
          <w:lang w:val="en-US" w:eastAsia="zh-CN"/>
        </w:rPr>
      </w:pPr>
    </w:p>
    <w:p w14:paraId="3586D9F1">
      <w:pPr>
        <w:bidi w:val="0"/>
        <w:rPr>
          <w:rFonts w:hint="eastAsia" w:asciiTheme="minorEastAsia" w:hAnsiTheme="minorEastAsia" w:eastAsiaTheme="minorEastAsia" w:cstheme="minorEastAsia"/>
          <w:color w:val="auto"/>
          <w:highlight w:val="none"/>
          <w:lang w:val="en-US" w:eastAsia="zh-CN"/>
        </w:rPr>
      </w:pPr>
    </w:p>
    <w:p w14:paraId="166B2626">
      <w:pPr>
        <w:bidi w:val="0"/>
        <w:rPr>
          <w:rFonts w:hint="eastAsia" w:asciiTheme="minorEastAsia" w:hAnsiTheme="minorEastAsia" w:eastAsiaTheme="minorEastAsia" w:cstheme="minorEastAsia"/>
          <w:color w:val="auto"/>
          <w:highlight w:val="none"/>
          <w:lang w:val="en-US" w:eastAsia="zh-CN"/>
        </w:rPr>
      </w:pPr>
    </w:p>
    <w:p w14:paraId="0133859D">
      <w:pPr>
        <w:bidi w:val="0"/>
        <w:rPr>
          <w:rFonts w:hint="eastAsia" w:asciiTheme="minorEastAsia" w:hAnsiTheme="minorEastAsia" w:eastAsiaTheme="minorEastAsia" w:cstheme="minorEastAsia"/>
          <w:color w:val="auto"/>
          <w:highlight w:val="none"/>
          <w:lang w:val="en-US" w:eastAsia="zh-CN"/>
        </w:rPr>
      </w:pPr>
    </w:p>
    <w:p w14:paraId="44A592C4">
      <w:pPr>
        <w:bidi w:val="0"/>
        <w:rPr>
          <w:rFonts w:hint="eastAsia" w:asciiTheme="minorEastAsia" w:hAnsiTheme="minorEastAsia" w:eastAsiaTheme="minorEastAsia" w:cstheme="minorEastAsia"/>
          <w:color w:val="auto"/>
          <w:highlight w:val="none"/>
          <w:lang w:val="en-US" w:eastAsia="zh-CN"/>
        </w:rPr>
      </w:pPr>
    </w:p>
    <w:p w14:paraId="16C1231C">
      <w:pPr>
        <w:bidi w:val="0"/>
        <w:rPr>
          <w:rFonts w:hint="eastAsia" w:asciiTheme="minorEastAsia" w:hAnsiTheme="minorEastAsia" w:eastAsiaTheme="minorEastAsia" w:cstheme="minorEastAsia"/>
          <w:color w:val="auto"/>
          <w:highlight w:val="none"/>
          <w:lang w:val="en-US" w:eastAsia="zh-CN"/>
        </w:rPr>
      </w:pPr>
    </w:p>
    <w:p w14:paraId="04038792">
      <w:pPr>
        <w:bidi w:val="0"/>
        <w:ind w:firstLine="1960" w:firstLineChars="7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甲方：重庆乾睿置业发展有限公司</w:t>
      </w:r>
    </w:p>
    <w:p w14:paraId="4BB9B620">
      <w:pPr>
        <w:bidi w:val="0"/>
        <w:ind w:firstLine="1960" w:firstLineChars="700"/>
        <w:jc w:val="both"/>
        <w:rPr>
          <w:rFonts w:hint="default" w:asciiTheme="minorEastAsia" w:hAnsiTheme="minorEastAsia" w:eastAsiaTheme="minorEastAsia" w:cstheme="minorEastAsia"/>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8"/>
          <w:szCs w:val="28"/>
          <w:highlight w:val="none"/>
          <w:lang w:val="en-US" w:eastAsia="zh-CN"/>
        </w:rPr>
        <w:t>乙方：</w:t>
      </w:r>
      <w:r>
        <w:rPr>
          <w:rFonts w:hint="eastAsia" w:asciiTheme="minorEastAsia" w:hAnsiTheme="minorEastAsia" w:cstheme="minorEastAsia"/>
          <w:color w:val="auto"/>
          <w:sz w:val="28"/>
          <w:szCs w:val="28"/>
          <w:highlight w:val="none"/>
          <w:lang w:val="en-US" w:eastAsia="zh-CN"/>
        </w:rPr>
        <w:t xml:space="preserve">   </w:t>
      </w:r>
    </w:p>
    <w:p w14:paraId="40642EC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color w:val="auto"/>
          <w:sz w:val="32"/>
          <w:szCs w:val="32"/>
          <w:lang w:val="en-US" w:eastAsia="zh-CN"/>
        </w:rPr>
      </w:pPr>
      <w:r>
        <w:rPr>
          <w:rFonts w:hint="eastAsia"/>
          <w:color w:val="auto"/>
          <w:sz w:val="32"/>
          <w:szCs w:val="32"/>
          <w:lang w:val="en-US" w:eastAsia="zh-CN"/>
        </w:rPr>
        <w:t>广阳湾通江人才社区（一期）项目品牌设计及营销、</w:t>
      </w:r>
    </w:p>
    <w:p w14:paraId="3E49585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color w:val="auto"/>
          <w:sz w:val="32"/>
          <w:szCs w:val="32"/>
          <w:lang w:val="en-US" w:eastAsia="zh-CN"/>
        </w:rPr>
      </w:pPr>
      <w:r>
        <w:rPr>
          <w:rFonts w:hint="eastAsia"/>
          <w:color w:val="auto"/>
          <w:sz w:val="32"/>
          <w:szCs w:val="32"/>
          <w:lang w:val="en-US" w:eastAsia="zh-CN"/>
        </w:rPr>
        <w:t>服务合同</w:t>
      </w:r>
    </w:p>
    <w:p w14:paraId="7BA3CE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pacing w:val="280"/>
          <w:w w:val="100"/>
          <w:kern w:val="0"/>
          <w:sz w:val="28"/>
          <w:szCs w:val="28"/>
          <w:highlight w:val="none"/>
          <w:fitText w:val="560" w:id="1129868897"/>
          <w:lang w:val="en-US" w:eastAsia="zh-CN"/>
        </w:rPr>
      </w:pPr>
    </w:p>
    <w:p w14:paraId="19BD6A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rPr>
      </w:pPr>
    </w:p>
    <w:p w14:paraId="4430D1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280"/>
          <w:w w:val="100"/>
          <w:kern w:val="0"/>
          <w:sz w:val="28"/>
          <w:szCs w:val="28"/>
          <w:highlight w:val="none"/>
          <w:fitText w:val="1120" w:id="2056472074"/>
          <w:lang w:val="en-US" w:eastAsia="zh-CN"/>
        </w:rPr>
        <w:t>甲</w:t>
      </w:r>
      <w:r>
        <w:rPr>
          <w:rFonts w:hint="eastAsia" w:asciiTheme="minorEastAsia" w:hAnsiTheme="minorEastAsia" w:eastAsiaTheme="minorEastAsia" w:cstheme="minorEastAsia"/>
          <w:color w:val="auto"/>
          <w:spacing w:val="0"/>
          <w:w w:val="100"/>
          <w:kern w:val="0"/>
          <w:sz w:val="28"/>
          <w:szCs w:val="28"/>
          <w:highlight w:val="none"/>
          <w:fitText w:val="1120" w:id="2056472074"/>
          <w:lang w:val="en-US" w:eastAsia="zh-CN"/>
        </w:rPr>
        <w:t>方</w:t>
      </w: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重庆乾睿置业发展有限公司</w:t>
      </w:r>
    </w:p>
    <w:p w14:paraId="399538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280"/>
          <w:kern w:val="0"/>
          <w:sz w:val="28"/>
          <w:szCs w:val="28"/>
          <w:highlight w:val="none"/>
          <w:fitText w:val="1120" w:id="1644514525"/>
          <w:lang w:val="en-US" w:eastAsia="zh-CN"/>
        </w:rPr>
        <w:t>地</w:t>
      </w:r>
      <w:r>
        <w:rPr>
          <w:rFonts w:hint="eastAsia" w:asciiTheme="minorEastAsia" w:hAnsiTheme="minorEastAsia" w:eastAsiaTheme="minorEastAsia" w:cstheme="minorEastAsia"/>
          <w:color w:val="auto"/>
          <w:spacing w:val="0"/>
          <w:kern w:val="0"/>
          <w:sz w:val="28"/>
          <w:szCs w:val="28"/>
          <w:highlight w:val="none"/>
          <w:fitText w:val="1120" w:id="1644514525"/>
          <w:lang w:val="en-US" w:eastAsia="zh-CN"/>
        </w:rPr>
        <w:t>址</w:t>
      </w:r>
      <w:r>
        <w:rPr>
          <w:rFonts w:hint="eastAsia" w:asciiTheme="minorEastAsia" w:hAnsiTheme="minorEastAsia" w:eastAsiaTheme="minorEastAsia" w:cstheme="minorEastAsia"/>
          <w:color w:val="auto"/>
          <w:kern w:val="0"/>
          <w:sz w:val="28"/>
          <w:szCs w:val="28"/>
          <w:highlight w:val="none"/>
          <w:lang w:val="en-US" w:eastAsia="zh-CN"/>
        </w:rPr>
        <w:t>：重庆市南岸区江桥路1号</w:t>
      </w:r>
    </w:p>
    <w:p w14:paraId="0C7357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280"/>
          <w:kern w:val="0"/>
          <w:sz w:val="28"/>
          <w:szCs w:val="28"/>
          <w:highlight w:val="none"/>
          <w:fitText w:val="1120" w:id="1843014504"/>
          <w:lang w:val="en-US" w:eastAsia="zh-CN"/>
        </w:rPr>
        <w:t>电</w:t>
      </w:r>
      <w:r>
        <w:rPr>
          <w:rFonts w:hint="eastAsia" w:asciiTheme="minorEastAsia" w:hAnsiTheme="minorEastAsia" w:eastAsiaTheme="minorEastAsia" w:cstheme="minorEastAsia"/>
          <w:color w:val="auto"/>
          <w:spacing w:val="0"/>
          <w:kern w:val="0"/>
          <w:sz w:val="28"/>
          <w:szCs w:val="28"/>
          <w:highlight w:val="none"/>
          <w:fitText w:val="1120" w:id="1843014504"/>
          <w:lang w:val="en-US" w:eastAsia="zh-CN"/>
        </w:rPr>
        <w:t>话</w:t>
      </w:r>
      <w:r>
        <w:rPr>
          <w:rFonts w:hint="eastAsia" w:asciiTheme="minorEastAsia" w:hAnsiTheme="minorEastAsia" w:eastAsiaTheme="minorEastAsia" w:cstheme="minorEastAsia"/>
          <w:color w:val="auto"/>
          <w:kern w:val="0"/>
          <w:sz w:val="28"/>
          <w:szCs w:val="28"/>
          <w:highlight w:val="none"/>
          <w:lang w:val="en-US" w:eastAsia="zh-CN"/>
        </w:rPr>
        <w:t>：023 62825536</w:t>
      </w:r>
    </w:p>
    <w:p w14:paraId="0AC36D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280"/>
          <w:kern w:val="0"/>
          <w:sz w:val="28"/>
          <w:szCs w:val="28"/>
          <w:highlight w:val="none"/>
          <w:fitText w:val="1120" w:id="1678860069"/>
          <w:lang w:val="en-US" w:eastAsia="zh-CN"/>
        </w:rPr>
        <w:t>传</w:t>
      </w:r>
      <w:r>
        <w:rPr>
          <w:rFonts w:hint="eastAsia" w:asciiTheme="minorEastAsia" w:hAnsiTheme="minorEastAsia" w:eastAsiaTheme="minorEastAsia" w:cstheme="minorEastAsia"/>
          <w:color w:val="auto"/>
          <w:spacing w:val="0"/>
          <w:kern w:val="0"/>
          <w:sz w:val="28"/>
          <w:szCs w:val="28"/>
          <w:highlight w:val="none"/>
          <w:fitText w:val="1120" w:id="1678860069"/>
          <w:lang w:val="en-US" w:eastAsia="zh-CN"/>
        </w:rPr>
        <w:t>真</w:t>
      </w:r>
      <w:r>
        <w:rPr>
          <w:rFonts w:hint="eastAsia" w:asciiTheme="minorEastAsia" w:hAnsiTheme="minorEastAsia" w:eastAsiaTheme="minorEastAsia" w:cstheme="minorEastAsia"/>
          <w:color w:val="auto"/>
          <w:kern w:val="0"/>
          <w:sz w:val="28"/>
          <w:szCs w:val="28"/>
          <w:highlight w:val="none"/>
          <w:lang w:val="en-US" w:eastAsia="zh-CN"/>
        </w:rPr>
        <w:t>：</w:t>
      </w:r>
    </w:p>
    <w:p w14:paraId="17BC9C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p>
    <w:p w14:paraId="587FF3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280"/>
          <w:kern w:val="0"/>
          <w:sz w:val="28"/>
          <w:szCs w:val="28"/>
          <w:highlight w:val="none"/>
          <w:fitText w:val="1120" w:id="908133077"/>
          <w:lang w:val="en-US" w:eastAsia="zh-CN"/>
        </w:rPr>
        <w:t>乙</w:t>
      </w:r>
      <w:r>
        <w:rPr>
          <w:rFonts w:hint="eastAsia" w:asciiTheme="minorEastAsia" w:hAnsiTheme="minorEastAsia" w:eastAsiaTheme="minorEastAsia" w:cstheme="minorEastAsia"/>
          <w:color w:val="auto"/>
          <w:spacing w:val="0"/>
          <w:kern w:val="0"/>
          <w:sz w:val="28"/>
          <w:szCs w:val="28"/>
          <w:highlight w:val="none"/>
          <w:fitText w:val="1120" w:id="908133077"/>
          <w:lang w:val="en-US" w:eastAsia="zh-CN"/>
        </w:rPr>
        <w:t>方</w:t>
      </w:r>
      <w:r>
        <w:rPr>
          <w:rFonts w:hint="eastAsia" w:asciiTheme="minorEastAsia" w:hAnsiTheme="minorEastAsia" w:eastAsiaTheme="minorEastAsia" w:cstheme="minorEastAsia"/>
          <w:color w:val="auto"/>
          <w:kern w:val="0"/>
          <w:sz w:val="28"/>
          <w:szCs w:val="28"/>
          <w:highlight w:val="none"/>
          <w:lang w:val="en-US" w:eastAsia="zh-CN"/>
        </w:rPr>
        <w:t>：</w:t>
      </w:r>
    </w:p>
    <w:p w14:paraId="4B1CBC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spacing w:val="280"/>
          <w:kern w:val="0"/>
          <w:sz w:val="28"/>
          <w:szCs w:val="28"/>
          <w:highlight w:val="none"/>
          <w:fitText w:val="1120" w:id="1481270501"/>
          <w:lang w:val="en-US" w:eastAsia="zh-CN"/>
        </w:rPr>
        <w:t>地</w:t>
      </w:r>
      <w:r>
        <w:rPr>
          <w:rFonts w:hint="eastAsia" w:asciiTheme="minorEastAsia" w:hAnsiTheme="minorEastAsia" w:eastAsiaTheme="minorEastAsia" w:cstheme="minorEastAsia"/>
          <w:color w:val="auto"/>
          <w:spacing w:val="0"/>
          <w:kern w:val="0"/>
          <w:sz w:val="28"/>
          <w:szCs w:val="28"/>
          <w:highlight w:val="none"/>
          <w:fitText w:val="1120" w:id="1481270501"/>
          <w:lang w:val="en-US" w:eastAsia="zh-CN"/>
        </w:rPr>
        <w:t>址</w:t>
      </w:r>
      <w:r>
        <w:rPr>
          <w:rFonts w:hint="eastAsia" w:asciiTheme="minorEastAsia" w:hAnsiTheme="minorEastAsia" w:eastAsiaTheme="minorEastAsia" w:cstheme="minorEastAsia"/>
          <w:color w:val="auto"/>
          <w:kern w:val="0"/>
          <w:sz w:val="28"/>
          <w:szCs w:val="28"/>
          <w:highlight w:val="none"/>
          <w:lang w:val="en-US" w:eastAsia="zh-CN"/>
        </w:rPr>
        <w:t>：</w:t>
      </w:r>
    </w:p>
    <w:p w14:paraId="577714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280"/>
          <w:kern w:val="0"/>
          <w:sz w:val="28"/>
          <w:szCs w:val="28"/>
          <w:highlight w:val="none"/>
          <w:fitText w:val="1120" w:id="812986876"/>
          <w:lang w:val="en-US" w:eastAsia="zh-CN"/>
        </w:rPr>
        <w:t>电</w:t>
      </w:r>
      <w:r>
        <w:rPr>
          <w:rFonts w:hint="eastAsia" w:asciiTheme="minorEastAsia" w:hAnsiTheme="minorEastAsia" w:eastAsiaTheme="minorEastAsia" w:cstheme="minorEastAsia"/>
          <w:color w:val="auto"/>
          <w:spacing w:val="0"/>
          <w:kern w:val="0"/>
          <w:sz w:val="28"/>
          <w:szCs w:val="28"/>
          <w:highlight w:val="none"/>
          <w:fitText w:val="1120" w:id="812986876"/>
          <w:lang w:val="en-US" w:eastAsia="zh-CN"/>
        </w:rPr>
        <w:t>话</w:t>
      </w:r>
      <w:r>
        <w:rPr>
          <w:rFonts w:hint="eastAsia" w:asciiTheme="minorEastAsia" w:hAnsiTheme="minorEastAsia" w:eastAsiaTheme="minorEastAsia" w:cstheme="minorEastAsia"/>
          <w:color w:val="auto"/>
          <w:kern w:val="0"/>
          <w:sz w:val="28"/>
          <w:szCs w:val="28"/>
          <w:highlight w:val="none"/>
          <w:lang w:val="en-US" w:eastAsia="zh-CN"/>
        </w:rPr>
        <w:t>：</w:t>
      </w:r>
    </w:p>
    <w:p w14:paraId="26589F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pacing w:val="280"/>
          <w:kern w:val="0"/>
          <w:sz w:val="28"/>
          <w:szCs w:val="28"/>
          <w:highlight w:val="none"/>
          <w:fitText w:val="1120" w:id="1093950668"/>
          <w:lang w:val="en-US" w:eastAsia="zh-CN"/>
        </w:rPr>
        <w:t>传</w:t>
      </w:r>
      <w:r>
        <w:rPr>
          <w:rFonts w:hint="eastAsia" w:asciiTheme="minorEastAsia" w:hAnsiTheme="minorEastAsia" w:eastAsiaTheme="minorEastAsia" w:cstheme="minorEastAsia"/>
          <w:color w:val="auto"/>
          <w:spacing w:val="0"/>
          <w:kern w:val="0"/>
          <w:sz w:val="28"/>
          <w:szCs w:val="28"/>
          <w:highlight w:val="none"/>
          <w:fitText w:val="1120" w:id="1093950668"/>
          <w:lang w:val="en-US" w:eastAsia="zh-CN"/>
        </w:rPr>
        <w:t>真</w:t>
      </w:r>
      <w:r>
        <w:rPr>
          <w:rFonts w:hint="eastAsia" w:asciiTheme="minorEastAsia" w:hAnsiTheme="minorEastAsia" w:eastAsiaTheme="minorEastAsia" w:cstheme="minorEastAsia"/>
          <w:color w:val="auto"/>
          <w:kern w:val="0"/>
          <w:sz w:val="28"/>
          <w:szCs w:val="28"/>
          <w:highlight w:val="none"/>
          <w:lang w:val="en-US" w:eastAsia="zh-CN"/>
        </w:rPr>
        <w:t>：</w:t>
      </w:r>
    </w:p>
    <w:p w14:paraId="7B36ABF8">
      <w:pPr>
        <w:bidi w:val="0"/>
        <w:jc w:val="both"/>
        <w:rPr>
          <w:rFonts w:hint="eastAsia" w:asciiTheme="minorEastAsia" w:hAnsiTheme="minorEastAsia" w:eastAsiaTheme="minorEastAsia" w:cstheme="minorEastAsia"/>
          <w:color w:val="auto"/>
          <w:sz w:val="28"/>
          <w:szCs w:val="28"/>
          <w:highlight w:val="none"/>
          <w:lang w:val="en-US" w:eastAsia="zh-CN"/>
        </w:rPr>
      </w:pPr>
    </w:p>
    <w:p w14:paraId="5A02A94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重庆乾睿置业发展有限公司（以下称为：甲方）与</w:t>
      </w:r>
      <w:r>
        <w:rPr>
          <w:rFonts w:hint="eastAsia"/>
          <w:color w:val="auto"/>
          <w:sz w:val="24"/>
          <w:szCs w:val="24"/>
          <w:u w:val="single"/>
        </w:rPr>
        <w:t xml:space="preserve">          </w:t>
      </w:r>
      <w:r>
        <w:rPr>
          <w:rFonts w:hint="eastAsia"/>
          <w:color w:val="auto"/>
          <w:sz w:val="24"/>
          <w:szCs w:val="24"/>
        </w:rPr>
        <w:t>（以下简称：乙方）本着平等互利的原则，经友好协商达成以下协议：</w:t>
      </w:r>
    </w:p>
    <w:p w14:paraId="690285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第一条 甲方委托乙方为重庆乾睿置业发展有限公司所开发的“广阳湾通江人才社区（一期）”项目构建品牌体系及推广提供策略、创意设计等服务。</w:t>
      </w:r>
    </w:p>
    <w:p w14:paraId="18048E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第二条 服务内容：具体服务项目详见附件一。</w:t>
      </w:r>
    </w:p>
    <w:p w14:paraId="57D9DA8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第三条 服务期限及收费</w:t>
      </w:r>
    </w:p>
    <w:p w14:paraId="1DCCF51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服务期：2025年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日至2025年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日（服务周期3个月）。</w:t>
      </w:r>
    </w:p>
    <w:p w14:paraId="5990BDC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服务费用：</w:t>
      </w:r>
    </w:p>
    <w:p w14:paraId="6706B51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合同总价为人民币大写：</w:t>
      </w:r>
      <w:r>
        <w:rPr>
          <w:rFonts w:hint="eastAsia"/>
          <w:color w:val="auto"/>
          <w:sz w:val="24"/>
          <w:szCs w:val="24"/>
          <w:u w:val="single"/>
        </w:rPr>
        <w:t xml:space="preserve">           </w:t>
      </w:r>
      <w:r>
        <w:rPr>
          <w:rFonts w:hint="eastAsia"/>
          <w:color w:val="auto"/>
          <w:sz w:val="24"/>
          <w:szCs w:val="24"/>
        </w:rPr>
        <w:t>，不含税价为人民币大写：</w:t>
      </w:r>
      <w:r>
        <w:rPr>
          <w:rFonts w:hint="eastAsia"/>
          <w:color w:val="auto"/>
          <w:sz w:val="24"/>
          <w:szCs w:val="24"/>
          <w:u w:val="single"/>
        </w:rPr>
        <w:t xml:space="preserve">            </w:t>
      </w:r>
      <w:r>
        <w:rPr>
          <w:rFonts w:hint="eastAsia"/>
          <w:color w:val="auto"/>
          <w:sz w:val="24"/>
          <w:szCs w:val="24"/>
        </w:rPr>
        <w:t>，增值税税额为人民币大写</w:t>
      </w:r>
      <w:r>
        <w:rPr>
          <w:rFonts w:hint="eastAsia"/>
          <w:color w:val="auto"/>
          <w:sz w:val="24"/>
          <w:szCs w:val="24"/>
          <w:u w:val="single"/>
        </w:rPr>
        <w:t xml:space="preserve">：           </w:t>
      </w:r>
      <w:r>
        <w:rPr>
          <w:rFonts w:hint="eastAsia"/>
          <w:color w:val="auto"/>
          <w:sz w:val="24"/>
          <w:szCs w:val="24"/>
        </w:rPr>
        <w:t>。本合同增值税税率</w:t>
      </w:r>
      <w:r>
        <w:rPr>
          <w:rFonts w:hint="eastAsia"/>
          <w:color w:val="auto"/>
          <w:sz w:val="24"/>
          <w:szCs w:val="24"/>
          <w:u w:val="single"/>
        </w:rPr>
        <w:t xml:space="preserve">    </w:t>
      </w:r>
      <w:r>
        <w:rPr>
          <w:rFonts w:hint="eastAsia"/>
          <w:color w:val="auto"/>
          <w:sz w:val="24"/>
          <w:szCs w:val="24"/>
        </w:rPr>
        <w:t>；</w:t>
      </w:r>
    </w:p>
    <w:p w14:paraId="163BD7F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服务费用包括但不限于完成本项目服务费、人工费、辅助材料费、到项目开会的差旅费用，重大节点相关人员驻场费用、企业管理费、利润、保险、风险费等事务及与本次服务相关费用和各种应纳的税费等一切费用。同时包含政策性文件规定及合同包含的所有风险、责任等各项应有费用。</w:t>
      </w:r>
    </w:p>
    <w:p w14:paraId="339822AE">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服务费用不含制作费用及与第三方发生费用，如：媒体发布费、活动费用、印刷制作、平面拍摄、图片电分、TVC拍摄、展览的装饰设计及制作、户型图渲染、外文翻译、团队素质培训等。</w:t>
      </w:r>
    </w:p>
    <w:p w14:paraId="1FB59D6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（3）支付方式：</w:t>
      </w:r>
    </w:p>
    <w:p w14:paraId="3F9788F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按月支付服务费，次月  日前，经甲方确认乙方上月服务成果合格后，乙方应向甲方提供税务部门认可的真实合法有效的发票，且双方无争议、无任何遗留问题，否则甲方有权暂定付款或延迟付款且不承担任何责任。甲方应于成果验收确认且收到上述发票后5个工作日向乙方支付上月项目服务费。</w:t>
      </w:r>
    </w:p>
    <w:p w14:paraId="3FBCFB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以上税率执行标准为国家税务优惠税率标准，如合同执行期内国家税率政策调整，按国家即时政策规定税率执行，开票金额不含税金额不变。</w:t>
      </w:r>
    </w:p>
    <w:p w14:paraId="12C1FC2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（4）服务费采取银行转账方式支付，乙方账户如下：</w:t>
      </w:r>
    </w:p>
    <w:p w14:paraId="4AF94C0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 xml:space="preserve">单位名称： </w:t>
      </w:r>
    </w:p>
    <w:p w14:paraId="4876491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 xml:space="preserve">开户行： </w:t>
      </w:r>
    </w:p>
    <w:p w14:paraId="04ECF4F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银行账号：</w:t>
      </w:r>
    </w:p>
    <w:p w14:paraId="388598F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第四条 双方义务</w:t>
      </w:r>
    </w:p>
    <w:p w14:paraId="116B812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1、甲方的权利及义务</w:t>
      </w:r>
    </w:p>
    <w:p w14:paraId="10D413E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甲方书面认可在本合同范围内的相关作品及提案稿，作品知识产权归甲方所有。在所有权归甲方后，乙方可将作品收录本公司简介等宣传物料，并可参选公益、专业、行业或媒介所组织的非赢利竞赛评比活动，但不得用于除此之外的其它目的事项（事先经甲方书面同意的除外）。</w:t>
      </w:r>
    </w:p>
    <w:p w14:paraId="5CD8B5D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（2）甲方应与乙方密切配合，及时向乙方提供营销推广所需的关于项目与产品的各项资料、数据。甲方保证提供的文字及相关资料与信息真实、合法、有效，并对所提供的资料与信息负责。</w:t>
      </w:r>
    </w:p>
    <w:p w14:paraId="30CE8A3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（3）甲方及时将制定的阶段推广计划和媒体计划提供乙方，以便乙方制定工作计划，保障工作及时推进。</w:t>
      </w:r>
    </w:p>
    <w:p w14:paraId="35992C7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（4）甲方应按照本合同的规定，按时向乙方支付费用，以便乙方工作正常展开。</w:t>
      </w:r>
    </w:p>
    <w:p w14:paraId="5836CB5E">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2、乙方的权利及义务</w:t>
      </w:r>
    </w:p>
    <w:p w14:paraId="1138B31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（1）按照甲方的要求，按期向甲方提出项目所必须的原始资料、原始数据和相关说明清单，提出实施方案，并处理项目运作中的与乙方责任有关的问题。</w:t>
      </w:r>
    </w:p>
    <w:p w14:paraId="0F1EB5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根据甲方提供的阶段任务和媒体计划制定工作进度计划，每阶段工作开展之前，乙方须向甲方提交该阶段的工作进度计划，工作进度计划经甲方同意后方可执行，乙方逾期提交计划或提交的计划不实、不详不符合本合同约定的，付款期限将予以顺延。</w:t>
      </w:r>
    </w:p>
    <w:p w14:paraId="1106071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（3）确定的工作进度计划安排每项任务的具体实施，在实施过程中必须保持与甲方信息的畅通，并凡于生疑处及时与甲方代表沟通意见。</w:t>
      </w:r>
    </w:p>
    <w:p w14:paraId="28191DE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（4）配合甲方处理项目变更、办理相关登记等手续。</w:t>
      </w:r>
    </w:p>
    <w:p w14:paraId="2B922F3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5）乙方应当确保提交的本合同范围内的相关作品及提案稿知识产权来源的合法性，若相关作品及提案稿侵犯第三方合法权益的，甲方有权选择要求乙方退还合同价款，或乙方采取补救方法重新提交符合合同约定及具有合法知识产权的作品及提案稿，无论甲方选择上述哪一种方式，均有权要求乙方赔偿甲方由此产生的损失。</w:t>
      </w:r>
    </w:p>
    <w:p w14:paraId="67C7324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第五条 双方承诺</w:t>
      </w:r>
    </w:p>
    <w:p w14:paraId="38250F0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1、甲方向乙方保证：甲方为产品推广策划设计向乙方提供的素材或指定使用的素材不得违反中华人民共和国法律、法规以及侵害第三方的合法权益，否则造成的相关索赔及后果由甲方自行承担。</w:t>
      </w:r>
    </w:p>
    <w:p w14:paraId="0E258E5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乙方向甲方保证：乙方在产品推广策划设计中提供的服务事项及提交成果均不侵害第三方的权益，并且符合国家相关法律、法规。乙方为甲方提供的方案所载或所涉的知识产权必须无瑕疵，不会引起任何第三方在现在及将来的任何形式的合法索赔，推广主题及文案创意并不得出现与国内任何房地产开发项目抄袭、雷同、高仿的情形，文案所涉摄影作品、图案作品、尤其是项目主题标识等须为合法购买或自主研发的知识产权成果并已经完整付费，如因本条所述情形引起甲方修改方案、停止使用已有设计、遭遇索赔或禁止使用等情况，甲方有权解除合同并要求乙方退还全部已收服务费，赔偿甲方因此产生的全部损失。</w:t>
      </w:r>
    </w:p>
    <w:p w14:paraId="089CA0F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本项目的产品推广策划设计事宜本身，及其中包含的理念、主题、方案、文案、营销策略、项目资料等均被视为甲方的重要商业机密，保密期直至项目推广方案及形象面市公开（项目资料永久保密），乙方对甲方提供的素材和合作期间获悉的甲方商业秘密负有保密义务，并确保有效的保密措施，不得以任何方式将甲方提供的素材和商业秘密提供或泄露给其他第三方，亦不得将其用于本合同项目服务以外的其他目的，否则甲方有权随时解除本合同，乙方须退还已收服务费用，并向甲方支付不低于本协议服务费总额的违约金，如仍不能弥补甲方损失的，乙方须足额赔偿。</w:t>
      </w:r>
    </w:p>
    <w:p w14:paraId="692F2BF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甲方有权拥有经甲方签字确认的创意设计作品的草稿及全部矢量文件资料，本项目的整合推广事宜本身，及其中包含的理念、主题、方案、文案、营销策略、图像、项目资料等著作权归甲方所有，没有著作权的，相关权益仍归甲方。</w:t>
      </w:r>
    </w:p>
    <w:p w14:paraId="47EF1F5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第六条 服务标准</w:t>
      </w:r>
    </w:p>
    <w:p w14:paraId="3D64A2F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1、建立信赖与和谐的合作关系与利益互动关系，乙方的一切服务与出品，以高品质高标准与符合市场所需及甲方要求为基准点（乙方承诺本项目工作组为我司最优工作人员组成，名单报甲方认可）。</w:t>
      </w:r>
    </w:p>
    <w:p w14:paraId="4D7ED7D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2、畅通的项目信息沟通和高效率的业务协调与配合。双方按时参加项目有关业务例会，及安排的有关业务专项研讨会，并须保证双方各有一名业务负责人出席。</w:t>
      </w:r>
    </w:p>
    <w:p w14:paraId="761C88E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本协议附件所列的人员需持续保持为广阳湾通江人才社区（一期）项目服务，未经甲方书面同意，乙方不得擅自更换附表中人员（因人员离职、病休等乙方不可控的原因除外），乙方有义务无条件更换直至取得甲方的认可，乙方擅自更换人员达到三人/次以上，或乙方拒绝更换甲方认为不合格的人员或新任人员，甲方有权解除本合同。</w:t>
      </w:r>
    </w:p>
    <w:p w14:paraId="356D2DB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乙方需在月费支付前向甲方提交请款资料及项目工作成果，如甲方认为需整改的，乙方应根据甲方要求进行整改，整改期间下阶段付款期限将顺延直至整改后达到合格，如乙方拒绝整改，甲方有权解除本合同。</w:t>
      </w:r>
    </w:p>
    <w:p w14:paraId="6208506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第七条 服务标准</w:t>
      </w:r>
    </w:p>
    <w:p w14:paraId="7636C5D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就 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日广阳湾通江人才社区（一期）项目品牌设计及营销服务，具体工作主要包括以下内容，合作内容详见附件 1。甲方可在附件1范围内向乙方下达工作任务单，甲方未要求乙方履行附件1全部内容，不影响双方的月费金额及款项支付。</w:t>
      </w:r>
    </w:p>
    <w:p w14:paraId="4FEB89E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第八条 工作程序</w:t>
      </w:r>
    </w:p>
    <w:p w14:paraId="5EAEA08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1、工作形式：</w:t>
      </w:r>
    </w:p>
    <w:p w14:paraId="45E4019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乙方组成专案小组负责运作。乙方服务小组的人员组成在尊重甲方意愿的原则下由乙方决定，若服务小组人员的工作不符合本合同服务项目的工作要求，甲方可要求乙方变更人员；若变更后仍不能达到甲方要求的，甲方将向乙方提出警告，情节严重按照第六条第3款追究乙方违约责任；乙方因人事原因需变更服务小组人员的，应与甲方协商确定并提供新任人员的资料经甲方书面同意方可。</w:t>
      </w:r>
    </w:p>
    <w:p w14:paraId="732531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2、工作授权与确认：</w:t>
      </w:r>
    </w:p>
    <w:p w14:paraId="3CC7C8E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（1）乙方须书面授权项目负责人及联络人，项目工作中的签字确认均应由经授权的相关人员负责；</w:t>
      </w:r>
    </w:p>
    <w:p w14:paraId="35461F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（2）甲方授权乙方工作项目时应提供书面部署（客户工作单）。重要事项，如变更媒体，修改创意，增减制作，可先电话通知开始设计及修改，接下来亦由客户方提供书面文件。</w:t>
      </w:r>
    </w:p>
    <w:p w14:paraId="66A869A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（3）甲、乙双方签字确认乙方准备的会议记录、创意、媒体等工作部署文件（如有）。</w:t>
      </w:r>
    </w:p>
    <w:p w14:paraId="0D8D622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（4）乙方在完成每项工作后须提交甲方确认，包括媒体计划，创意设计与文案等，在得到甲方同意之后，方可进入下一步工作。</w:t>
      </w:r>
    </w:p>
    <w:p w14:paraId="3C6F2C7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（5）甲方须对乙方提交的工作及时反馈意见。甲方应在收到乙方提交的服务成果报告3日内提出修改意见。</w:t>
      </w:r>
    </w:p>
    <w:p w14:paraId="224B89C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3、甲乙双方的日常沟通要求：</w:t>
      </w:r>
    </w:p>
    <w:p w14:paraId="484CD3D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（1）乙方整理会议内容并于会后的24小时之内，提供书面会议纪要供甲方备案。</w:t>
      </w:r>
    </w:p>
    <w:p w14:paraId="01EA240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乙方根据工作进度计划、会议纪要及甲方通知准备各种策划文件和工作部署提交甲方确认。乙方未按照进度计划、会议纪要及甲方通知如期提交文案、计划、设计等成果的，每逾期一天甲方有权要求乙方承担该季度服务费用千分之三的违约金，单次成果提交逾期超过十天，或各次成果提交累计逾期超过二十天以上的，甲方有权解除本合同，双方按照乙方已提供且确认合格的服务时间据实结算服务费，乙方另向甲方支付本合同服务费总额的30%作为违约金。</w:t>
      </w:r>
    </w:p>
    <w:p w14:paraId="5CB9F07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（3）乙方定期提交付款对账清单核对到款情况。</w:t>
      </w:r>
    </w:p>
    <w:p w14:paraId="769C479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（4）双方约定在服务期间内按期召开一次由双方相关工作人员参加的工作例会，具体时间由双方协商确定。</w:t>
      </w:r>
    </w:p>
    <w:p w14:paraId="7E4BCA0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（5）乙方的重大、重要提案，甲方需保证不低于一名的决策人员到场，以保证工作、沟通的效率。</w:t>
      </w:r>
    </w:p>
    <w:p w14:paraId="527E8D1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第九条 违约责任</w:t>
      </w:r>
    </w:p>
    <w:p w14:paraId="2044138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合作双方应着眼于共同长远利益，对合作过程中出现的任何问题应共同协商解决。本合同违约金为双方协商后共同确定，任何一方不会以违约金约定过高要求对方削减或改变承担方式，但如违约金仍不足以弥补守约方损失的，守约方仍有权要求违约方足额赔偿。</w:t>
      </w:r>
    </w:p>
    <w:p w14:paraId="662F54F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 A. 本合同有效期满，或本合同所约定的工作已完成，双方结清本合同所涉及款项和有关资料后即告终止。</w:t>
      </w:r>
    </w:p>
    <w:p w14:paraId="2B3AAD1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B.除本合同另有约定的外，甲方在以下情况下，有权单方解除本协议，并可根据实际情况要求乙方支付本合同服务费总额的30%作为违约金，违约金如仍不足以弥补甲方损失的，有权要求乙方足额赔偿（服务费结算以甲方向乙方送达解除合同通知书之日为准）：</w:t>
      </w:r>
    </w:p>
    <w:p w14:paraId="5656480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（1）乙方有欺骗客户的行为并给甲方造成经济或名誉损失；</w:t>
      </w:r>
    </w:p>
    <w:p w14:paraId="4F26504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（2）乙方有严重违反国家有关部门法律法规行为时；</w:t>
      </w:r>
    </w:p>
    <w:p w14:paraId="1DBE3F5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（3）如乙方服务质量及水平，以及推广策略不能适应甲方要求和发展时，甲方在提前10日书面通知乙方限期整改，且乙方限期整改后仍无法适应甲方需求的或乙方拒绝整改的；</w:t>
      </w:r>
    </w:p>
    <w:p w14:paraId="3F42F18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（4）乙方擅自解除本合同或以实际行为停止履行时。</w:t>
      </w:r>
    </w:p>
    <w:p w14:paraId="5A64B1C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如甲方无正当理由未按时支付代理费用、单项合同费用，甲方应按照应付而未付款项的0.02%／日向乙方支付迟延履行违约金，甲方无故逾期付款超过30天以上的，乙方有权解除本合同，甲方支付合同含税总金额20%的违约金。</w:t>
      </w:r>
    </w:p>
    <w:p w14:paraId="5A5F448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3、违约方应向守约方支付赔偿金额、诉讼费、保全费、保全担保费、律师费、差旅费、公证费、公告费、评估费、鉴定费等费用。</w:t>
      </w:r>
    </w:p>
    <w:p w14:paraId="1417F48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第十条 单项合作</w:t>
      </w:r>
    </w:p>
    <w:p w14:paraId="7E9462B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在本合同约定的服务内容之外乙方向甲方提供的专项服务，由双方另行签订协议约定，乙方在同等条件下具有优先权。</w:t>
      </w:r>
    </w:p>
    <w:p w14:paraId="31E4DF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第十一条 争议的解决</w:t>
      </w:r>
    </w:p>
    <w:p w14:paraId="7F46BAE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因执行本合同引起的争议双方友好协商解决，如协商不成，任何一方均有权向原告方所在地有管辖权的人民法院提起诉讼。</w:t>
      </w:r>
    </w:p>
    <w:p w14:paraId="1A248D0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第十二条 其他</w:t>
      </w:r>
    </w:p>
    <w:p w14:paraId="51BF949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1、因不可抗力导致一方无法继续履行合同，在及时通知并提供相应证明的前提下可相应免责，双方另行协商解决方式；</w:t>
      </w:r>
    </w:p>
    <w:p w14:paraId="2BC77FB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2、本协议约定之未尽事宜，由双方协商解决，并可以补充协议的形式达成约定，补充协议与本协议具有同等或优先的法律效力。</w:t>
      </w:r>
    </w:p>
    <w:p w14:paraId="3A05CBA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3、本协议一式五份，甲方执叁份，乙方执两份，具同等法律效力，自双方签章之日起生效。</w:t>
      </w:r>
    </w:p>
    <w:p w14:paraId="3D541E5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4、 双方确认下述合同附件为本合同不可分割的组成部分，与本合同具有同等法律效力：</w:t>
      </w:r>
    </w:p>
    <w:p w14:paraId="7E3832A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附件1：服务项目范围</w:t>
      </w:r>
    </w:p>
    <w:p w14:paraId="1285D0E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附件2：乙方服务配置团队</w:t>
      </w:r>
    </w:p>
    <w:p w14:paraId="3DA44F6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第十三条 各方授权代表</w:t>
      </w:r>
    </w:p>
    <w:p w14:paraId="0695DF1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甲方项目负责人：</w:t>
      </w:r>
    </w:p>
    <w:p w14:paraId="4532467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甲方授权联系代表：</w:t>
      </w:r>
    </w:p>
    <w:p w14:paraId="144DFFDE">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甲方联系e—mail:</w:t>
      </w:r>
    </w:p>
    <w:p w14:paraId="200B5F02">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甲方联系地址：</w:t>
      </w:r>
    </w:p>
    <w:p w14:paraId="46F8DA7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甲方联系方式：</w:t>
      </w:r>
    </w:p>
    <w:p w14:paraId="2B7F706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乙方项目负责人： </w:t>
      </w:r>
    </w:p>
    <w:p w14:paraId="5367BF8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乙方授权联系代表： </w:t>
      </w:r>
    </w:p>
    <w:p w14:paraId="106B8A1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乙方联系e—mail:</w:t>
      </w:r>
    </w:p>
    <w:p w14:paraId="070F8D5E">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乙方联系地址：</w:t>
      </w:r>
    </w:p>
    <w:p w14:paraId="0866977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乙方联系方式：</w:t>
      </w:r>
    </w:p>
    <w:p w14:paraId="042F3CE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各方发出的任何与本协议有关的通知或其他通讯往来均应以本协议所载的地址为准。任何通知均应以书面形式送达。直接送交的，以对方签收视为送达，任何一方无正当理由不得拒绝签收；采取特快专递方式送达的，同城以特快专递回执上所载投递日的第二日视为送达，异地以特快专递回执上所载投递日的第三日视为送达。以快递等信件方式通知对方的，另一方应及时予以签收，若另一方无法签收、拒绝签收或信件被退回或被他人签收的，均视为通知方已履行了通知义务。</w:t>
      </w:r>
    </w:p>
    <w:p w14:paraId="2F2806A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一方联系地址或联系人发生变化的，应按前款规定书面通知对方，并自前款规定的送达后生效。因载明的地址有误或未及时告知变更后的地址，导致相关文件和法律文书未能实际被接收的，邮寄送达的，退回之日即视为送达之日。双方上述送达地址适用于双方就本协议发生纠纷时仲裁、诉讼相关文件和法律文书的送达。若本协议所涉纠纷进入仲裁、诉讼程序后，如当事人应诉并直接向法院提交送达地址确认书，该确认地址与诉前确认的送达地址不一致的，以向法院提交确认的送达地址为准。</w:t>
      </w:r>
    </w:p>
    <w:p w14:paraId="4CC354C2">
      <w:pPr>
        <w:pStyle w:val="317"/>
        <w:keepNext w:val="0"/>
        <w:keepLines w:val="0"/>
        <w:widowControl/>
        <w:suppressLineNumbers w:val="0"/>
        <w:rPr>
          <w:rFonts w:hint="eastAsia" w:asciiTheme="minorEastAsia" w:hAnsiTheme="minorEastAsia" w:eastAsiaTheme="minorEastAsia" w:cstheme="minorEastAsia"/>
          <w:color w:val="auto"/>
          <w:highlight w:val="none"/>
        </w:rPr>
      </w:pPr>
    </w:p>
    <w:p w14:paraId="50D2F52D">
      <w:pPr>
        <w:numPr>
          <w:ilvl w:val="0"/>
          <w:numId w:val="0"/>
        </w:numPr>
        <w:bidi w:val="0"/>
        <w:ind w:leftChars="0"/>
        <w:jc w:val="both"/>
        <w:rPr>
          <w:rFonts w:hint="eastAsia" w:asciiTheme="minorEastAsia" w:hAnsiTheme="minorEastAsia" w:eastAsiaTheme="minorEastAsia" w:cstheme="minorEastAsia"/>
          <w:color w:val="auto"/>
          <w:highlight w:val="none"/>
          <w:lang w:val="en-US" w:eastAsia="zh-CN"/>
        </w:rPr>
      </w:pPr>
    </w:p>
    <w:p w14:paraId="0C4EB0DB">
      <w:pPr>
        <w:autoSpaceDE w:val="0"/>
        <w:autoSpaceDN w:val="0"/>
        <w:adjustRightInd w:val="0"/>
        <w:snapToGrid w:val="0"/>
        <w:spacing w:before="156" w:beforeLines="50" w:after="156" w:afterLines="50" w:line="480" w:lineRule="auto"/>
        <w:ind w:left="6987" w:hanging="6960" w:hangingChars="29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rPr>
        <w:t>甲方</w:t>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重庆乾睿置业发展有限公司</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val="0"/>
          <w:bCs/>
          <w:color w:val="auto"/>
          <w:kern w:val="0"/>
          <w:sz w:val="24"/>
          <w:szCs w:val="24"/>
          <w:highlight w:val="none"/>
        </w:rPr>
        <w:t>乙方</w:t>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 xml:space="preserve"> </w:t>
      </w:r>
    </w:p>
    <w:p w14:paraId="40E22F2F">
      <w:pPr>
        <w:adjustRightInd w:val="0"/>
        <w:snapToGrid w:val="0"/>
        <w:spacing w:before="156" w:beforeLines="50" w:after="156" w:afterLines="50" w:line="48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p>
    <w:p w14:paraId="62B2CA11">
      <w:pPr>
        <w:adjustRightInd w:val="0"/>
        <w:snapToGrid w:val="0"/>
        <w:spacing w:before="156" w:beforeLines="50" w:after="156" w:afterLines="50" w:line="380" w:lineRule="exact"/>
        <w:rPr>
          <w:rFonts w:hint="eastAsia" w:asciiTheme="minorEastAsia" w:hAnsiTheme="minorEastAsia" w:eastAsiaTheme="minorEastAsia" w:cstheme="minorEastAsia"/>
          <w:color w:val="auto"/>
          <w:sz w:val="24"/>
          <w:highlight w:val="none"/>
        </w:rPr>
      </w:pPr>
    </w:p>
    <w:p w14:paraId="5804BF56">
      <w:pPr>
        <w:adjustRightInd w:val="0"/>
        <w:snapToGrid w:val="0"/>
        <w:spacing w:before="156" w:beforeLines="50" w:after="156" w:afterLines="50"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lang w:val="en-US" w:eastAsia="zh-CN"/>
        </w:rPr>
        <w:t>2025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      签订日期：</w:t>
      </w:r>
      <w:r>
        <w:rPr>
          <w:rFonts w:hint="eastAsia" w:asciiTheme="minorEastAsia" w:hAnsiTheme="minorEastAsia" w:eastAsiaTheme="minorEastAsia" w:cstheme="minorEastAsia"/>
          <w:color w:val="auto"/>
          <w:sz w:val="24"/>
          <w:highlight w:val="none"/>
          <w:u w:val="single"/>
          <w:lang w:val="en-US" w:eastAsia="zh-CN"/>
        </w:rPr>
        <w:t>2025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14:paraId="6A567B52">
      <w:pPr>
        <w:numPr>
          <w:ilvl w:val="0"/>
          <w:numId w:val="0"/>
        </w:numPr>
        <w:bidi w:val="0"/>
        <w:ind w:leftChars="0"/>
        <w:jc w:val="both"/>
        <w:rPr>
          <w:rFonts w:hint="eastAsia" w:asciiTheme="minorEastAsia" w:hAnsiTheme="minorEastAsia" w:eastAsiaTheme="minorEastAsia" w:cstheme="minorEastAsia"/>
          <w:color w:val="auto"/>
          <w:highlight w:val="none"/>
          <w:lang w:val="en-US" w:eastAsia="zh-CN"/>
        </w:rPr>
        <w:sectPr>
          <w:pgSz w:w="11906" w:h="16838"/>
          <w:pgMar w:top="1440" w:right="1800" w:bottom="1440" w:left="1800" w:header="851" w:footer="992" w:gutter="0"/>
          <w:cols w:space="425" w:num="1"/>
          <w:docGrid w:type="lines" w:linePitch="312" w:charSpace="0"/>
        </w:sectPr>
      </w:pPr>
    </w:p>
    <w:p w14:paraId="1E49D8D2">
      <w:pPr>
        <w:spacing w:line="288"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附件1：</w:t>
      </w:r>
      <w:bookmarkStart w:id="472" w:name="_Hlk92896442"/>
      <w:r>
        <w:rPr>
          <w:rFonts w:hint="eastAsia" w:asciiTheme="minorEastAsia" w:hAnsiTheme="minorEastAsia" w:eastAsiaTheme="minorEastAsia" w:cstheme="minorEastAsia"/>
          <w:b/>
          <w:bCs/>
          <w:color w:val="auto"/>
          <w:sz w:val="28"/>
          <w:szCs w:val="28"/>
          <w:highlight w:val="none"/>
        </w:rPr>
        <w:t>服务项目范围</w:t>
      </w:r>
      <w:bookmarkEnd w:id="472"/>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3C4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8BCA07">
            <w:pPr>
              <w:pStyle w:val="15"/>
              <w:ind w:left="0" w:leftChars="0" w:firstLine="0" w:firstLineChars="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一、品牌命名、定位及策略</w:t>
            </w:r>
          </w:p>
        </w:tc>
      </w:tr>
      <w:tr w14:paraId="0B0E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EBD0188">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1、品牌命名</w:t>
            </w:r>
          </w:p>
        </w:tc>
      </w:tr>
      <w:tr w14:paraId="5077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B32CB8F">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（1）特征描述</w:t>
            </w:r>
          </w:p>
        </w:tc>
      </w:tr>
      <w:tr w14:paraId="05FA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77EA9B7">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（2）名牌命名</w:t>
            </w:r>
          </w:p>
        </w:tc>
      </w:tr>
      <w:tr w14:paraId="7B12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tcPr>
          <w:p w14:paraId="0344A349">
            <w:pPr>
              <w:pStyle w:val="15"/>
              <w:ind w:left="0" w:leftChars="0" w:firstLine="0" w:firstLineChars="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 xml:space="preserve">    2、品牌定位</w:t>
            </w:r>
          </w:p>
        </w:tc>
      </w:tr>
      <w:tr w14:paraId="22A1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C187346">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（1）特征描述</w:t>
            </w:r>
          </w:p>
        </w:tc>
      </w:tr>
      <w:tr w14:paraId="7789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6A3E6E7">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（2）推广形象定位</w:t>
            </w:r>
          </w:p>
        </w:tc>
      </w:tr>
      <w:tr w14:paraId="565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DA85487">
            <w:pPr>
              <w:pStyle w:val="15"/>
              <w:ind w:left="0" w:leftChars="0" w:firstLine="0" w:firstLineChars="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二、品牌创意与表现</w:t>
            </w:r>
          </w:p>
        </w:tc>
      </w:tr>
      <w:tr w14:paraId="46D1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2D949ED">
            <w:pPr>
              <w:pStyle w:val="15"/>
              <w:ind w:left="0" w:leftChars="0" w:firstLine="0" w:firstLineChars="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基于定位及策略的执行类工作</w:t>
            </w:r>
          </w:p>
        </w:tc>
      </w:tr>
      <w:tr w14:paraId="50FA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B1E630">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1、品牌主张及内容提炼</w:t>
            </w:r>
          </w:p>
        </w:tc>
      </w:tr>
      <w:tr w14:paraId="7D41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D06E9D">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2、主要推广口号</w:t>
            </w:r>
          </w:p>
        </w:tc>
      </w:tr>
      <w:tr w14:paraId="27F3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BA2257">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3、主视觉形象画面</w:t>
            </w:r>
          </w:p>
        </w:tc>
      </w:tr>
      <w:tr w14:paraId="2B3E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97E86D">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4、VI系统</w:t>
            </w:r>
          </w:p>
        </w:tc>
      </w:tr>
      <w:tr w14:paraId="770A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EB956C">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5、推广主题、品牌形象相关文案撰写、平面广告设计</w:t>
            </w:r>
          </w:p>
        </w:tc>
      </w:tr>
      <w:tr w14:paraId="51A7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D9F75">
            <w:pPr>
              <w:pStyle w:val="15"/>
              <w:numPr>
                <w:ilvl w:val="0"/>
                <w:numId w:val="0"/>
              </w:numPr>
              <w:ind w:firstLine="420" w:firstLineChars="20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6、相关手册等宣传资料：</w:t>
            </w:r>
          </w:p>
          <w:p w14:paraId="0E910CC5">
            <w:pPr>
              <w:numPr>
                <w:ilvl w:val="0"/>
                <w:numId w:val="0"/>
              </w:numPr>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项目品牌手册、项目宣传手册（或折页）、项目宣传PPT、阶段性线下传播物料设计、线上传播画面设计等</w:t>
            </w:r>
          </w:p>
        </w:tc>
      </w:tr>
      <w:tr w14:paraId="79CE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1B2F7D">
            <w:pPr>
              <w:pStyle w:val="15"/>
              <w:numPr>
                <w:ilvl w:val="0"/>
                <w:numId w:val="2"/>
              </w:numP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线上配合画面设计：</w:t>
            </w:r>
          </w:p>
          <w:p w14:paraId="2C960241">
            <w:pPr>
              <w:numPr>
                <w:ilvl w:val="0"/>
                <w:numId w:val="0"/>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甲方自主开发的小程序美化配合、官方网站页面设计配合等</w:t>
            </w:r>
          </w:p>
        </w:tc>
      </w:tr>
      <w:tr w14:paraId="1F99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C913E9">
            <w:pPr>
              <w:pStyle w:val="15"/>
              <w:ind w:left="0" w:leftChars="0" w:firstLine="0" w:firstLineChars="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三、品牌构建及项目推广广告策划</w:t>
            </w:r>
          </w:p>
        </w:tc>
      </w:tr>
      <w:tr w14:paraId="1016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2E3C11D">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1、阶段广告市场调查与分析</w:t>
            </w:r>
          </w:p>
        </w:tc>
      </w:tr>
      <w:tr w14:paraId="187D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0FC948">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（1）广告营销环境分析</w:t>
            </w:r>
          </w:p>
        </w:tc>
      </w:tr>
      <w:tr w14:paraId="199E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98262E">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（2）广告竞争对手分析</w:t>
            </w:r>
          </w:p>
        </w:tc>
      </w:tr>
      <w:tr w14:paraId="4C59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0734C62">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（3）广告目标客户群分析</w:t>
            </w:r>
          </w:p>
        </w:tc>
      </w:tr>
      <w:tr w14:paraId="204A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62AFB22">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2、阶段广告定位</w:t>
            </w:r>
          </w:p>
        </w:tc>
      </w:tr>
      <w:tr w14:paraId="60ED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4CC742">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（1）市场定位：产品市场定位、消费群体定位</w:t>
            </w:r>
          </w:p>
        </w:tc>
      </w:tr>
      <w:tr w14:paraId="590B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F865C2B">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（2）功能定位：产品功能定位、竞品功能定位</w:t>
            </w:r>
          </w:p>
        </w:tc>
      </w:tr>
      <w:tr w14:paraId="4C67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47F06F1">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（3）形象定位：品牌形象行为、项目形象等位、目标客群形象定位</w:t>
            </w:r>
          </w:p>
        </w:tc>
      </w:tr>
      <w:tr w14:paraId="1B11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3F2BF64">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3、阶段广告策略及创意构想</w:t>
            </w:r>
          </w:p>
        </w:tc>
      </w:tr>
      <w:tr w14:paraId="009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6801E35">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（1）推广策略：推广内容及渠道组合策略</w:t>
            </w:r>
          </w:p>
        </w:tc>
      </w:tr>
      <w:tr w14:paraId="1471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0911672">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（2）活动策略：活动内容及形式策略</w:t>
            </w:r>
          </w:p>
        </w:tc>
      </w:tr>
      <w:tr w14:paraId="4140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C27D61D">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（3）包装策略：内外场氛围包装策略</w:t>
            </w:r>
          </w:p>
        </w:tc>
      </w:tr>
      <w:tr w14:paraId="01FC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E1F579">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（4）节点事件营销策略：项目节点事件营销策略、主K及推广活动设计物料、线上心塞宣传物料设计等</w:t>
            </w:r>
          </w:p>
        </w:tc>
      </w:tr>
      <w:tr w14:paraId="6B04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4ABADE8">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4、传播与媒介策略的制定</w:t>
            </w:r>
          </w:p>
        </w:tc>
      </w:tr>
      <w:tr w14:paraId="0D13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89E56B9">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传播策略遵循的原则、传播与媒介覆盖的策略目标、分阶段传播策略的制定</w:t>
            </w:r>
          </w:p>
        </w:tc>
      </w:tr>
      <w:tr w14:paraId="3CBC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AD205D3">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5、项目阶段推广目标/策略拟定</w:t>
            </w:r>
          </w:p>
        </w:tc>
      </w:tr>
      <w:tr w14:paraId="764A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69B0303">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6、媒体投放文案撰写及广告创意（包含：报纸、杂志、网络、电台、高炮、机场等各类公共媒介及微信其他新媒体等）</w:t>
            </w:r>
          </w:p>
        </w:tc>
      </w:tr>
      <w:tr w14:paraId="1D4C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4D0347">
            <w:pPr>
              <w:pStyle w:val="15"/>
              <w:ind w:left="0" w:leftChars="0" w:firstLine="0" w:firstLineChars="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四、品牌及项目VI识别系统建立与完善</w:t>
            </w:r>
          </w:p>
        </w:tc>
      </w:tr>
      <w:tr w14:paraId="1670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E50E127">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1、品牌与子品牌的架构梳理、VI吸用的制定及调整</w:t>
            </w:r>
          </w:p>
        </w:tc>
      </w:tr>
      <w:tr w14:paraId="6A4A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BE58F87">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2、事物用品及办公系统</w:t>
            </w:r>
          </w:p>
        </w:tc>
      </w:tr>
      <w:tr w14:paraId="7183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2D8F397">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3、展示系统设计：展厅形象及动线规划设计、包装设计</w:t>
            </w:r>
          </w:p>
        </w:tc>
      </w:tr>
      <w:tr w14:paraId="72DF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46D0F85">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4、工地系统设计：围挡样式、大门包装、户外广告等</w:t>
            </w:r>
          </w:p>
        </w:tc>
      </w:tr>
      <w:tr w14:paraId="114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13F134">
            <w:pPr>
              <w:pStyle w:val="15"/>
              <w:ind w:left="0" w:leftChars="0" w:firstLine="0" w:firstLineChars="0"/>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五、项目宣传物料实施（含工艺材质等建议）</w:t>
            </w:r>
          </w:p>
        </w:tc>
      </w:tr>
      <w:tr w14:paraId="7691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7DC257C">
            <w:pPr>
              <w:pStyle w:val="15"/>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1、产品手册、折页、海报等及其他涉及到传播的线下相关印刷物料</w:t>
            </w:r>
          </w:p>
        </w:tc>
      </w:tr>
    </w:tbl>
    <w:p w14:paraId="0A02A637">
      <w:pPr>
        <w:pStyle w:val="15"/>
        <w:rPr>
          <w:rFonts w:hint="eastAsia" w:asciiTheme="minorEastAsia" w:hAnsiTheme="minorEastAsia" w:eastAsiaTheme="minorEastAsia" w:cstheme="minorEastAsia"/>
          <w:color w:val="auto"/>
          <w:highlight w:val="none"/>
          <w:lang w:val="en-US" w:eastAsia="zh-CN"/>
        </w:rPr>
        <w:sectPr>
          <w:pgSz w:w="11906" w:h="16838"/>
          <w:pgMar w:top="1440" w:right="1800" w:bottom="1440" w:left="1800" w:header="851" w:footer="992" w:gutter="0"/>
          <w:cols w:space="425" w:num="1"/>
          <w:docGrid w:type="lines" w:linePitch="312" w:charSpace="0"/>
        </w:sectPr>
      </w:pPr>
    </w:p>
    <w:p w14:paraId="5953FF59">
      <w:pPr>
        <w:spacing w:line="288"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附件</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乙方服务配置团队</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968"/>
        <w:gridCol w:w="2016"/>
        <w:gridCol w:w="3314"/>
      </w:tblGrid>
      <w:tr w14:paraId="2582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20" w:type="dxa"/>
            <w:vAlign w:val="center"/>
          </w:tcPr>
          <w:p w14:paraId="6982F50D">
            <w:pPr>
              <w:jc w:val="center"/>
              <w:rPr>
                <w:rFonts w:hint="eastAsia" w:asciiTheme="minorEastAsia" w:hAnsiTheme="minorEastAsia" w:eastAsiaTheme="minorEastAsia" w:cstheme="minorEastAsia"/>
                <w:b/>
                <w:bCs/>
                <w:color w:val="auto"/>
                <w:sz w:val="28"/>
                <w:szCs w:val="36"/>
                <w:highlight w:val="none"/>
                <w:vertAlign w:val="baseline"/>
                <w:lang w:val="en-US" w:eastAsia="zh-CN"/>
              </w:rPr>
            </w:pPr>
            <w:r>
              <w:rPr>
                <w:rFonts w:hint="eastAsia" w:asciiTheme="minorEastAsia" w:hAnsiTheme="minorEastAsia" w:eastAsiaTheme="minorEastAsia" w:cstheme="minorEastAsia"/>
                <w:b/>
                <w:bCs/>
                <w:color w:val="auto"/>
                <w:sz w:val="28"/>
                <w:szCs w:val="36"/>
                <w:highlight w:val="none"/>
                <w:vertAlign w:val="baseline"/>
                <w:lang w:val="en-US" w:eastAsia="zh-CN"/>
              </w:rPr>
              <w:t>序号</w:t>
            </w:r>
          </w:p>
        </w:tc>
        <w:tc>
          <w:tcPr>
            <w:tcW w:w="1968" w:type="dxa"/>
            <w:vAlign w:val="center"/>
          </w:tcPr>
          <w:p w14:paraId="0D4FCF5B">
            <w:pPr>
              <w:jc w:val="center"/>
              <w:rPr>
                <w:rFonts w:hint="eastAsia" w:asciiTheme="minorEastAsia" w:hAnsiTheme="minorEastAsia" w:eastAsiaTheme="minorEastAsia" w:cstheme="minorEastAsia"/>
                <w:b/>
                <w:bCs/>
                <w:color w:val="auto"/>
                <w:sz w:val="28"/>
                <w:szCs w:val="36"/>
                <w:highlight w:val="none"/>
                <w:vertAlign w:val="baseline"/>
                <w:lang w:val="en-US" w:eastAsia="zh-CN"/>
              </w:rPr>
            </w:pPr>
            <w:r>
              <w:rPr>
                <w:rFonts w:hint="eastAsia" w:asciiTheme="minorEastAsia" w:hAnsiTheme="minorEastAsia" w:eastAsiaTheme="minorEastAsia" w:cstheme="minorEastAsia"/>
                <w:b/>
                <w:bCs/>
                <w:color w:val="auto"/>
                <w:sz w:val="28"/>
                <w:szCs w:val="36"/>
                <w:highlight w:val="none"/>
                <w:vertAlign w:val="baseline"/>
                <w:lang w:val="en-US" w:eastAsia="zh-CN"/>
              </w:rPr>
              <w:t>姓名</w:t>
            </w:r>
          </w:p>
        </w:tc>
        <w:tc>
          <w:tcPr>
            <w:tcW w:w="2016" w:type="dxa"/>
            <w:vAlign w:val="center"/>
          </w:tcPr>
          <w:p w14:paraId="1B4BF899">
            <w:pPr>
              <w:jc w:val="center"/>
              <w:rPr>
                <w:rFonts w:hint="eastAsia" w:asciiTheme="minorEastAsia" w:hAnsiTheme="minorEastAsia" w:eastAsiaTheme="minorEastAsia" w:cstheme="minorEastAsia"/>
                <w:b/>
                <w:bCs/>
                <w:color w:val="auto"/>
                <w:sz w:val="28"/>
                <w:szCs w:val="36"/>
                <w:highlight w:val="none"/>
                <w:vertAlign w:val="baseline"/>
                <w:lang w:val="en-US" w:eastAsia="zh-CN"/>
              </w:rPr>
            </w:pPr>
            <w:r>
              <w:rPr>
                <w:rFonts w:hint="eastAsia" w:asciiTheme="minorEastAsia" w:hAnsiTheme="minorEastAsia" w:eastAsiaTheme="minorEastAsia" w:cstheme="minorEastAsia"/>
                <w:b/>
                <w:bCs/>
                <w:color w:val="auto"/>
                <w:sz w:val="28"/>
                <w:szCs w:val="36"/>
                <w:highlight w:val="none"/>
                <w:vertAlign w:val="baseline"/>
                <w:lang w:val="en-US" w:eastAsia="zh-CN"/>
              </w:rPr>
              <w:t>项目职位</w:t>
            </w:r>
          </w:p>
        </w:tc>
        <w:tc>
          <w:tcPr>
            <w:tcW w:w="3314" w:type="dxa"/>
            <w:vAlign w:val="center"/>
          </w:tcPr>
          <w:p w14:paraId="578C32CD">
            <w:pPr>
              <w:jc w:val="center"/>
              <w:rPr>
                <w:rFonts w:hint="eastAsia" w:asciiTheme="minorEastAsia" w:hAnsiTheme="minorEastAsia" w:eastAsiaTheme="minorEastAsia" w:cstheme="minorEastAsia"/>
                <w:b/>
                <w:bCs/>
                <w:color w:val="auto"/>
                <w:sz w:val="28"/>
                <w:szCs w:val="36"/>
                <w:highlight w:val="none"/>
                <w:vertAlign w:val="baseline"/>
                <w:lang w:val="en-US" w:eastAsia="zh-CN"/>
              </w:rPr>
            </w:pPr>
            <w:r>
              <w:rPr>
                <w:rFonts w:hint="eastAsia" w:asciiTheme="minorEastAsia" w:hAnsiTheme="minorEastAsia" w:eastAsiaTheme="minorEastAsia" w:cstheme="minorEastAsia"/>
                <w:b/>
                <w:bCs/>
                <w:color w:val="auto"/>
                <w:sz w:val="28"/>
                <w:szCs w:val="36"/>
                <w:highlight w:val="none"/>
                <w:vertAlign w:val="baseline"/>
                <w:lang w:val="en-US" w:eastAsia="zh-CN"/>
              </w:rPr>
              <w:t>案组指责</w:t>
            </w:r>
          </w:p>
        </w:tc>
      </w:tr>
      <w:tr w14:paraId="1182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20" w:type="dxa"/>
            <w:vAlign w:val="center"/>
          </w:tcPr>
          <w:p w14:paraId="2EA8AEB9">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1</w:t>
            </w:r>
          </w:p>
        </w:tc>
        <w:tc>
          <w:tcPr>
            <w:tcW w:w="1968" w:type="dxa"/>
            <w:vAlign w:val="center"/>
          </w:tcPr>
          <w:p w14:paraId="71B6A096">
            <w:pPr>
              <w:jc w:val="center"/>
              <w:rPr>
                <w:rFonts w:hint="eastAsia" w:asciiTheme="minorEastAsia" w:hAnsiTheme="minorEastAsia" w:eastAsiaTheme="minorEastAsia" w:cstheme="minorEastAsia"/>
                <w:color w:val="auto"/>
                <w:highlight w:val="none"/>
                <w:vertAlign w:val="baseline"/>
                <w:lang w:val="en-US" w:eastAsia="zh-CN"/>
              </w:rPr>
            </w:pPr>
          </w:p>
        </w:tc>
        <w:tc>
          <w:tcPr>
            <w:tcW w:w="2016" w:type="dxa"/>
            <w:vAlign w:val="center"/>
          </w:tcPr>
          <w:p w14:paraId="60CB4CF1">
            <w:pPr>
              <w:jc w:val="both"/>
              <w:rPr>
                <w:rFonts w:hint="eastAsia" w:asciiTheme="minorEastAsia" w:hAnsiTheme="minorEastAsia" w:eastAsiaTheme="minorEastAsia" w:cstheme="minorEastAsia"/>
                <w:color w:val="auto"/>
                <w:highlight w:val="none"/>
                <w:vertAlign w:val="baseline"/>
                <w:lang w:val="en-US" w:eastAsia="zh-CN"/>
              </w:rPr>
            </w:pPr>
          </w:p>
        </w:tc>
        <w:tc>
          <w:tcPr>
            <w:tcW w:w="3314" w:type="dxa"/>
            <w:vAlign w:val="center"/>
          </w:tcPr>
          <w:p w14:paraId="75DCB6A1">
            <w:pPr>
              <w:jc w:val="center"/>
              <w:rPr>
                <w:rFonts w:hint="eastAsia" w:asciiTheme="minorEastAsia" w:hAnsiTheme="minorEastAsia" w:eastAsiaTheme="minorEastAsia" w:cstheme="minorEastAsia"/>
                <w:color w:val="auto"/>
                <w:highlight w:val="none"/>
                <w:vertAlign w:val="baseline"/>
                <w:lang w:val="en-US" w:eastAsia="zh-CN"/>
              </w:rPr>
            </w:pPr>
          </w:p>
        </w:tc>
      </w:tr>
      <w:tr w14:paraId="02AD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20" w:type="dxa"/>
            <w:vAlign w:val="center"/>
          </w:tcPr>
          <w:p w14:paraId="192326F3">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2</w:t>
            </w:r>
          </w:p>
        </w:tc>
        <w:tc>
          <w:tcPr>
            <w:tcW w:w="1968" w:type="dxa"/>
            <w:vAlign w:val="center"/>
          </w:tcPr>
          <w:p w14:paraId="4A5534F4">
            <w:pPr>
              <w:jc w:val="center"/>
              <w:rPr>
                <w:rFonts w:hint="eastAsia" w:asciiTheme="minorEastAsia" w:hAnsiTheme="minorEastAsia" w:eastAsiaTheme="minorEastAsia" w:cstheme="minorEastAsia"/>
                <w:color w:val="auto"/>
                <w:highlight w:val="none"/>
                <w:vertAlign w:val="baseline"/>
                <w:lang w:val="en-US" w:eastAsia="zh-CN"/>
              </w:rPr>
            </w:pPr>
          </w:p>
        </w:tc>
        <w:tc>
          <w:tcPr>
            <w:tcW w:w="2016" w:type="dxa"/>
            <w:vAlign w:val="center"/>
          </w:tcPr>
          <w:p w14:paraId="0A510AB4">
            <w:pPr>
              <w:jc w:val="center"/>
              <w:rPr>
                <w:rFonts w:hint="eastAsia" w:asciiTheme="minorEastAsia" w:hAnsiTheme="minorEastAsia" w:eastAsiaTheme="minorEastAsia" w:cstheme="minorEastAsia"/>
                <w:color w:val="auto"/>
                <w:highlight w:val="none"/>
                <w:vertAlign w:val="baseline"/>
                <w:lang w:val="en-US" w:eastAsia="zh-CN"/>
              </w:rPr>
            </w:pPr>
          </w:p>
        </w:tc>
        <w:tc>
          <w:tcPr>
            <w:tcW w:w="3314" w:type="dxa"/>
            <w:vAlign w:val="center"/>
          </w:tcPr>
          <w:p w14:paraId="7E20C7FF">
            <w:pPr>
              <w:jc w:val="center"/>
              <w:rPr>
                <w:rFonts w:hint="eastAsia" w:asciiTheme="minorEastAsia" w:hAnsiTheme="minorEastAsia" w:eastAsiaTheme="minorEastAsia" w:cstheme="minorEastAsia"/>
                <w:color w:val="auto"/>
                <w:highlight w:val="none"/>
                <w:vertAlign w:val="baseline"/>
                <w:lang w:val="en-US" w:eastAsia="zh-CN"/>
              </w:rPr>
            </w:pPr>
          </w:p>
        </w:tc>
      </w:tr>
      <w:tr w14:paraId="7A39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20" w:type="dxa"/>
            <w:vAlign w:val="center"/>
          </w:tcPr>
          <w:p w14:paraId="025041B6">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3</w:t>
            </w:r>
          </w:p>
        </w:tc>
        <w:tc>
          <w:tcPr>
            <w:tcW w:w="1968" w:type="dxa"/>
            <w:vAlign w:val="center"/>
          </w:tcPr>
          <w:p w14:paraId="514EB2DD">
            <w:pPr>
              <w:jc w:val="center"/>
              <w:rPr>
                <w:rFonts w:hint="eastAsia" w:asciiTheme="minorEastAsia" w:hAnsiTheme="minorEastAsia" w:eastAsiaTheme="minorEastAsia" w:cstheme="minorEastAsia"/>
                <w:color w:val="auto"/>
                <w:highlight w:val="none"/>
                <w:vertAlign w:val="baseline"/>
                <w:lang w:val="en-US" w:eastAsia="zh-CN"/>
              </w:rPr>
            </w:pPr>
          </w:p>
        </w:tc>
        <w:tc>
          <w:tcPr>
            <w:tcW w:w="2016" w:type="dxa"/>
            <w:vAlign w:val="center"/>
          </w:tcPr>
          <w:p w14:paraId="1D678811">
            <w:pPr>
              <w:jc w:val="center"/>
              <w:rPr>
                <w:rFonts w:hint="eastAsia" w:asciiTheme="minorEastAsia" w:hAnsiTheme="minorEastAsia" w:eastAsiaTheme="minorEastAsia" w:cstheme="minorEastAsia"/>
                <w:color w:val="auto"/>
                <w:highlight w:val="none"/>
                <w:vertAlign w:val="baseline"/>
                <w:lang w:val="en-US" w:eastAsia="zh-CN"/>
              </w:rPr>
            </w:pPr>
          </w:p>
        </w:tc>
        <w:tc>
          <w:tcPr>
            <w:tcW w:w="3314" w:type="dxa"/>
            <w:shd w:val="clear" w:color="auto" w:fill="auto"/>
            <w:vAlign w:val="center"/>
          </w:tcPr>
          <w:p w14:paraId="746B5AAB">
            <w:pPr>
              <w:jc w:val="center"/>
              <w:rPr>
                <w:rFonts w:hint="eastAsia" w:asciiTheme="minorEastAsia" w:hAnsiTheme="minorEastAsia" w:eastAsiaTheme="minorEastAsia" w:cstheme="minorEastAsia"/>
                <w:color w:val="auto"/>
                <w:kern w:val="2"/>
                <w:sz w:val="21"/>
                <w:szCs w:val="24"/>
                <w:highlight w:val="none"/>
                <w:vertAlign w:val="baseline"/>
                <w:lang w:val="en-US" w:eastAsia="zh-CN" w:bidi="ar-SA"/>
              </w:rPr>
            </w:pPr>
          </w:p>
        </w:tc>
      </w:tr>
      <w:tr w14:paraId="5CAD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20" w:type="dxa"/>
            <w:vAlign w:val="center"/>
          </w:tcPr>
          <w:p w14:paraId="1B58B130">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4</w:t>
            </w:r>
          </w:p>
        </w:tc>
        <w:tc>
          <w:tcPr>
            <w:tcW w:w="1968" w:type="dxa"/>
            <w:vAlign w:val="center"/>
          </w:tcPr>
          <w:p w14:paraId="605C0254">
            <w:pPr>
              <w:jc w:val="center"/>
              <w:rPr>
                <w:rFonts w:hint="eastAsia" w:asciiTheme="minorEastAsia" w:hAnsiTheme="minorEastAsia" w:eastAsiaTheme="minorEastAsia" w:cstheme="minorEastAsia"/>
                <w:color w:val="auto"/>
                <w:highlight w:val="none"/>
                <w:vertAlign w:val="baseline"/>
                <w:lang w:val="en-US" w:eastAsia="zh-CN"/>
              </w:rPr>
            </w:pPr>
          </w:p>
        </w:tc>
        <w:tc>
          <w:tcPr>
            <w:tcW w:w="2016" w:type="dxa"/>
            <w:vAlign w:val="center"/>
          </w:tcPr>
          <w:p w14:paraId="7D7D48A5">
            <w:pPr>
              <w:jc w:val="center"/>
              <w:rPr>
                <w:rFonts w:hint="eastAsia" w:asciiTheme="minorEastAsia" w:hAnsiTheme="minorEastAsia" w:eastAsiaTheme="minorEastAsia" w:cstheme="minorEastAsia"/>
                <w:color w:val="auto"/>
                <w:highlight w:val="none"/>
                <w:vertAlign w:val="baseline"/>
                <w:lang w:val="en-US" w:eastAsia="zh-CN"/>
              </w:rPr>
            </w:pPr>
          </w:p>
        </w:tc>
        <w:tc>
          <w:tcPr>
            <w:tcW w:w="3314" w:type="dxa"/>
            <w:vAlign w:val="center"/>
          </w:tcPr>
          <w:p w14:paraId="6F8A285A">
            <w:pPr>
              <w:jc w:val="center"/>
              <w:rPr>
                <w:rFonts w:hint="eastAsia" w:asciiTheme="minorEastAsia" w:hAnsiTheme="minorEastAsia" w:eastAsiaTheme="minorEastAsia" w:cstheme="minorEastAsia"/>
                <w:color w:val="auto"/>
                <w:highlight w:val="none"/>
                <w:vertAlign w:val="baseline"/>
                <w:lang w:val="en-US" w:eastAsia="zh-CN"/>
              </w:rPr>
            </w:pPr>
          </w:p>
        </w:tc>
      </w:tr>
      <w:tr w14:paraId="54C4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20" w:type="dxa"/>
            <w:vAlign w:val="center"/>
          </w:tcPr>
          <w:p w14:paraId="49C465CA">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5</w:t>
            </w:r>
          </w:p>
        </w:tc>
        <w:tc>
          <w:tcPr>
            <w:tcW w:w="1968" w:type="dxa"/>
            <w:vAlign w:val="center"/>
          </w:tcPr>
          <w:p w14:paraId="6CEFAE1D">
            <w:pPr>
              <w:jc w:val="center"/>
              <w:rPr>
                <w:rFonts w:hint="eastAsia" w:asciiTheme="minorEastAsia" w:hAnsiTheme="minorEastAsia" w:eastAsiaTheme="minorEastAsia" w:cstheme="minorEastAsia"/>
                <w:color w:val="auto"/>
                <w:highlight w:val="none"/>
                <w:vertAlign w:val="baseline"/>
                <w:lang w:val="en-US" w:eastAsia="zh-CN"/>
              </w:rPr>
            </w:pPr>
          </w:p>
        </w:tc>
        <w:tc>
          <w:tcPr>
            <w:tcW w:w="2016" w:type="dxa"/>
            <w:vAlign w:val="center"/>
          </w:tcPr>
          <w:p w14:paraId="2C478385">
            <w:pPr>
              <w:jc w:val="center"/>
              <w:rPr>
                <w:rFonts w:hint="eastAsia" w:asciiTheme="minorEastAsia" w:hAnsiTheme="minorEastAsia" w:eastAsiaTheme="minorEastAsia" w:cstheme="minorEastAsia"/>
                <w:color w:val="auto"/>
                <w:highlight w:val="none"/>
                <w:vertAlign w:val="baseline"/>
                <w:lang w:val="en-US" w:eastAsia="zh-CN"/>
              </w:rPr>
            </w:pPr>
          </w:p>
        </w:tc>
        <w:tc>
          <w:tcPr>
            <w:tcW w:w="3314" w:type="dxa"/>
            <w:vAlign w:val="center"/>
          </w:tcPr>
          <w:p w14:paraId="590C1A0F">
            <w:pPr>
              <w:jc w:val="center"/>
              <w:rPr>
                <w:rFonts w:hint="eastAsia" w:asciiTheme="minorEastAsia" w:hAnsiTheme="minorEastAsia" w:eastAsiaTheme="minorEastAsia" w:cstheme="minorEastAsia"/>
                <w:color w:val="auto"/>
                <w:highlight w:val="none"/>
                <w:vertAlign w:val="baseline"/>
                <w:lang w:val="en-US" w:eastAsia="zh-CN"/>
              </w:rPr>
            </w:pPr>
          </w:p>
        </w:tc>
      </w:tr>
      <w:tr w14:paraId="2B5F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20" w:type="dxa"/>
            <w:vAlign w:val="center"/>
          </w:tcPr>
          <w:p w14:paraId="10832A4D">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highlight w:val="none"/>
                <w:vertAlign w:val="baseline"/>
                <w:lang w:val="en-US" w:eastAsia="zh-CN"/>
              </w:rPr>
              <w:t>6</w:t>
            </w:r>
          </w:p>
        </w:tc>
        <w:tc>
          <w:tcPr>
            <w:tcW w:w="1968" w:type="dxa"/>
            <w:vAlign w:val="center"/>
          </w:tcPr>
          <w:p w14:paraId="4307EDFF">
            <w:pPr>
              <w:jc w:val="center"/>
              <w:rPr>
                <w:rFonts w:hint="eastAsia" w:asciiTheme="minorEastAsia" w:hAnsiTheme="minorEastAsia" w:eastAsiaTheme="minorEastAsia" w:cstheme="minorEastAsia"/>
                <w:color w:val="auto"/>
                <w:highlight w:val="none"/>
                <w:vertAlign w:val="baseline"/>
                <w:lang w:val="en-US" w:eastAsia="zh-CN"/>
              </w:rPr>
            </w:pPr>
          </w:p>
        </w:tc>
        <w:tc>
          <w:tcPr>
            <w:tcW w:w="2016" w:type="dxa"/>
            <w:vAlign w:val="center"/>
          </w:tcPr>
          <w:p w14:paraId="6632B0E4">
            <w:pPr>
              <w:jc w:val="center"/>
              <w:rPr>
                <w:rFonts w:hint="eastAsia" w:asciiTheme="minorEastAsia" w:hAnsiTheme="minorEastAsia" w:eastAsiaTheme="minorEastAsia" w:cstheme="minorEastAsia"/>
                <w:color w:val="auto"/>
                <w:highlight w:val="none"/>
                <w:vertAlign w:val="baseline"/>
                <w:lang w:val="en-US" w:eastAsia="zh-CN"/>
              </w:rPr>
            </w:pPr>
          </w:p>
        </w:tc>
        <w:tc>
          <w:tcPr>
            <w:tcW w:w="3314" w:type="dxa"/>
            <w:vAlign w:val="center"/>
          </w:tcPr>
          <w:p w14:paraId="2ACE3E7A">
            <w:pPr>
              <w:jc w:val="center"/>
              <w:rPr>
                <w:rFonts w:hint="eastAsia" w:asciiTheme="minorEastAsia" w:hAnsiTheme="minorEastAsia" w:eastAsiaTheme="minorEastAsia" w:cstheme="minorEastAsia"/>
                <w:color w:val="auto"/>
                <w:highlight w:val="none"/>
                <w:vertAlign w:val="baseline"/>
                <w:lang w:val="en-US" w:eastAsia="zh-CN"/>
              </w:rPr>
            </w:pPr>
          </w:p>
        </w:tc>
      </w:tr>
    </w:tbl>
    <w:p w14:paraId="054C0BBE">
      <w:pPr>
        <w:rPr>
          <w:rFonts w:hint="eastAsia" w:asciiTheme="minorEastAsia" w:hAnsiTheme="minorEastAsia" w:eastAsiaTheme="minorEastAsia" w:cstheme="minorEastAsia"/>
          <w:color w:val="auto"/>
          <w:highlight w:val="none"/>
          <w:lang w:val="en-US" w:eastAsia="zh-CN"/>
        </w:rPr>
      </w:pPr>
    </w:p>
    <w:p w14:paraId="5C70BBED">
      <w:pPr>
        <w:rPr>
          <w:rFonts w:ascii="宋体" w:hAnsi="宋体"/>
          <w:color w:val="auto"/>
          <w:szCs w:val="20"/>
          <w:highlight w:val="none"/>
        </w:rPr>
      </w:pPr>
    </w:p>
    <w:p w14:paraId="2F7D5563">
      <w:pPr>
        <w:pStyle w:val="2"/>
        <w:rPr>
          <w:rFonts w:ascii="宋体" w:hAnsi="宋体"/>
          <w:color w:val="auto"/>
          <w:szCs w:val="20"/>
          <w:highlight w:val="none"/>
        </w:rPr>
      </w:pPr>
    </w:p>
    <w:p w14:paraId="5AC74793">
      <w:pPr>
        <w:rPr>
          <w:rFonts w:ascii="宋体" w:hAnsi="宋体"/>
          <w:color w:val="auto"/>
          <w:szCs w:val="20"/>
          <w:highlight w:val="none"/>
        </w:rPr>
      </w:pPr>
    </w:p>
    <w:p w14:paraId="5036C125">
      <w:pPr>
        <w:pStyle w:val="2"/>
        <w:rPr>
          <w:rFonts w:ascii="宋体" w:hAnsi="宋体"/>
          <w:color w:val="auto"/>
          <w:szCs w:val="20"/>
          <w:highlight w:val="none"/>
        </w:rPr>
      </w:pPr>
    </w:p>
    <w:p w14:paraId="07902046">
      <w:pPr>
        <w:rPr>
          <w:rFonts w:ascii="宋体" w:hAnsi="宋体"/>
          <w:color w:val="auto"/>
          <w:szCs w:val="20"/>
          <w:highlight w:val="none"/>
        </w:rPr>
      </w:pPr>
    </w:p>
    <w:p w14:paraId="240366B6">
      <w:pPr>
        <w:pStyle w:val="2"/>
        <w:rPr>
          <w:rFonts w:ascii="宋体" w:hAnsi="宋体"/>
          <w:color w:val="auto"/>
          <w:szCs w:val="20"/>
          <w:highlight w:val="none"/>
        </w:rPr>
      </w:pPr>
    </w:p>
    <w:p w14:paraId="2C780137">
      <w:pPr>
        <w:rPr>
          <w:rFonts w:ascii="宋体" w:hAnsi="宋体"/>
          <w:color w:val="auto"/>
          <w:szCs w:val="20"/>
          <w:highlight w:val="none"/>
        </w:rPr>
      </w:pPr>
    </w:p>
    <w:p w14:paraId="2CF40F23">
      <w:pPr>
        <w:pStyle w:val="2"/>
        <w:rPr>
          <w:rFonts w:ascii="宋体" w:hAnsi="宋体"/>
          <w:color w:val="auto"/>
          <w:szCs w:val="20"/>
          <w:highlight w:val="none"/>
        </w:rPr>
      </w:pPr>
    </w:p>
    <w:p w14:paraId="44A562FD">
      <w:pPr>
        <w:rPr>
          <w:rFonts w:ascii="宋体" w:hAnsi="宋体"/>
          <w:color w:val="auto"/>
          <w:szCs w:val="20"/>
          <w:highlight w:val="none"/>
        </w:rPr>
      </w:pPr>
    </w:p>
    <w:p w14:paraId="26D7DB00">
      <w:pPr>
        <w:pStyle w:val="2"/>
        <w:rPr>
          <w:rFonts w:ascii="宋体" w:hAnsi="宋体"/>
          <w:color w:val="auto"/>
          <w:szCs w:val="20"/>
          <w:highlight w:val="none"/>
        </w:rPr>
      </w:pPr>
    </w:p>
    <w:p w14:paraId="4BA5065F">
      <w:pPr>
        <w:rPr>
          <w:rFonts w:ascii="宋体" w:hAnsi="宋体"/>
          <w:color w:val="auto"/>
          <w:szCs w:val="20"/>
          <w:highlight w:val="none"/>
        </w:rPr>
      </w:pPr>
    </w:p>
    <w:p w14:paraId="0ADA15BB">
      <w:pPr>
        <w:pStyle w:val="2"/>
        <w:rPr>
          <w:rFonts w:ascii="宋体" w:hAnsi="宋体"/>
          <w:color w:val="auto"/>
          <w:szCs w:val="20"/>
          <w:highlight w:val="none"/>
        </w:rPr>
      </w:pPr>
    </w:p>
    <w:p w14:paraId="798D917D">
      <w:pPr>
        <w:rPr>
          <w:color w:val="auto"/>
        </w:rPr>
      </w:pPr>
    </w:p>
    <w:bookmarkEnd w:id="467"/>
    <w:bookmarkEnd w:id="468"/>
    <w:p w14:paraId="759FEFBD">
      <w:pPr>
        <w:spacing w:line="360" w:lineRule="auto"/>
        <w:rPr>
          <w:rFonts w:ascii="宋体" w:hAnsi="宋体"/>
          <w:color w:val="auto"/>
          <w:highlight w:val="none"/>
        </w:rPr>
      </w:pPr>
    </w:p>
    <w:p w14:paraId="0FEA8F49">
      <w:pPr>
        <w:pStyle w:val="4"/>
        <w:spacing w:before="0" w:after="0" w:line="360" w:lineRule="auto"/>
        <w:jc w:val="center"/>
        <w:rPr>
          <w:rFonts w:ascii="宋体" w:hAnsi="宋体"/>
          <w:color w:val="auto"/>
          <w:sz w:val="52"/>
          <w:szCs w:val="52"/>
          <w:highlight w:val="none"/>
        </w:rPr>
      </w:pPr>
      <w:bookmarkStart w:id="473" w:name="_Toc8804"/>
      <w:bookmarkStart w:id="474" w:name="_Toc13896"/>
      <w:bookmarkStart w:id="475" w:name="_Toc6205"/>
      <w:r>
        <w:rPr>
          <w:rFonts w:hint="eastAsia" w:ascii="宋体" w:hAnsi="宋体"/>
          <w:color w:val="auto"/>
          <w:sz w:val="52"/>
          <w:szCs w:val="52"/>
          <w:highlight w:val="none"/>
        </w:rPr>
        <w:t>第 三 卷</w:t>
      </w:r>
      <w:bookmarkEnd w:id="473"/>
      <w:bookmarkEnd w:id="474"/>
      <w:bookmarkEnd w:id="475"/>
      <w:bookmarkStart w:id="476" w:name="_Toc509218847"/>
      <w:bookmarkStart w:id="477" w:name="_Toc536796986"/>
      <w:bookmarkStart w:id="478" w:name="_Toc13211206"/>
      <w:bookmarkStart w:id="479" w:name="_Toc536619968"/>
      <w:bookmarkStart w:id="480" w:name="_Toc536796850"/>
      <w:bookmarkStart w:id="481" w:name="_Toc536797121"/>
      <w:bookmarkStart w:id="482" w:name="_Toc536797255"/>
      <w:bookmarkStart w:id="483" w:name="_Toc536620100"/>
      <w:bookmarkStart w:id="484" w:name="_Toc13211764"/>
      <w:bookmarkStart w:id="485" w:name="_Toc536621880"/>
      <w:bookmarkStart w:id="486" w:name="_Toc536797390"/>
      <w:bookmarkStart w:id="487" w:name="_Toc13210772"/>
      <w:bookmarkStart w:id="488" w:name="_Toc534185826"/>
      <w:bookmarkStart w:id="489" w:name="_Toc536628344"/>
    </w:p>
    <w:bookmarkEnd w:id="476"/>
    <w:p w14:paraId="040EAA8A">
      <w:pPr>
        <w:rPr>
          <w:color w:val="auto"/>
          <w:highlight w:val="none"/>
        </w:rPr>
      </w:pPr>
      <w:r>
        <w:rPr>
          <w:color w:val="auto"/>
          <w:highlight w:val="none"/>
        </w:rPr>
        <w:br w:type="page"/>
      </w:r>
      <w:bookmarkEnd w:id="477"/>
      <w:bookmarkEnd w:id="478"/>
      <w:bookmarkEnd w:id="479"/>
      <w:bookmarkEnd w:id="480"/>
      <w:bookmarkEnd w:id="481"/>
      <w:bookmarkEnd w:id="482"/>
      <w:bookmarkEnd w:id="483"/>
      <w:bookmarkEnd w:id="484"/>
      <w:bookmarkEnd w:id="485"/>
      <w:bookmarkEnd w:id="486"/>
      <w:bookmarkEnd w:id="487"/>
      <w:bookmarkEnd w:id="488"/>
      <w:bookmarkEnd w:id="489"/>
    </w:p>
    <w:p w14:paraId="2A820FD4">
      <w:pPr>
        <w:pStyle w:val="4"/>
        <w:spacing w:line="360" w:lineRule="auto"/>
        <w:jc w:val="center"/>
        <w:rPr>
          <w:rFonts w:ascii="宋体" w:hAnsi="宋体"/>
          <w:color w:val="auto"/>
          <w:highlight w:val="none"/>
        </w:rPr>
      </w:pPr>
      <w:bookmarkStart w:id="490" w:name="招标文件07章技术标准和要求"/>
      <w:bookmarkEnd w:id="490"/>
      <w:bookmarkStart w:id="491" w:name="_Toc16451"/>
      <w:bookmarkStart w:id="492" w:name="_Toc17170"/>
      <w:r>
        <w:rPr>
          <w:rFonts w:ascii="宋体" w:hAnsi="宋体"/>
          <w:color w:val="auto"/>
          <w:highlight w:val="none"/>
        </w:rPr>
        <w:t>第</w:t>
      </w:r>
      <w:r>
        <w:rPr>
          <w:rFonts w:hint="eastAsia" w:ascii="宋体" w:hAnsi="宋体"/>
          <w:color w:val="auto"/>
          <w:highlight w:val="none"/>
          <w:lang w:val="en-US" w:eastAsia="zh-CN"/>
        </w:rPr>
        <w:t>五</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技术标准和要求</w:t>
      </w:r>
      <w:bookmarkEnd w:id="491"/>
      <w:bookmarkEnd w:id="492"/>
      <w:bookmarkStart w:id="493" w:name="招标文件07章技术标准和要求01"/>
      <w:bookmarkEnd w:id="493"/>
      <w:bookmarkStart w:id="494" w:name="_Toc287620808"/>
      <w:bookmarkStart w:id="495" w:name="_Toc430530524"/>
    </w:p>
    <w:bookmarkEnd w:id="494"/>
    <w:bookmarkEnd w:id="495"/>
    <w:p w14:paraId="12684F71">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674EDC60">
      <w:pPr>
        <w:spacing w:line="360" w:lineRule="auto"/>
        <w:rPr>
          <w:rFonts w:ascii="宋体" w:hAnsi="宋体"/>
          <w:color w:val="auto"/>
          <w:highlight w:val="none"/>
        </w:rPr>
      </w:pPr>
      <w:r>
        <w:rPr>
          <w:rFonts w:ascii="宋体" w:hAnsi="宋体"/>
          <w:color w:val="auto"/>
          <w:highlight w:val="none"/>
        </w:rPr>
        <w:br w:type="page"/>
      </w:r>
    </w:p>
    <w:p w14:paraId="395E73B2">
      <w:pPr>
        <w:pStyle w:val="4"/>
        <w:spacing w:line="360" w:lineRule="auto"/>
        <w:jc w:val="center"/>
        <w:rPr>
          <w:rFonts w:ascii="宋体" w:hAnsi="宋体"/>
          <w:color w:val="auto"/>
          <w:highlight w:val="none"/>
        </w:rPr>
      </w:pPr>
      <w:bookmarkStart w:id="496" w:name="_Toc430530528"/>
      <w:bookmarkStart w:id="497" w:name="_Toc4333"/>
      <w:bookmarkStart w:id="498" w:name="_Toc287620812"/>
      <w:bookmarkStart w:id="499" w:name="_Toc509218852"/>
      <w:bookmarkStart w:id="500" w:name="_Toc23843"/>
      <w:bookmarkStart w:id="501" w:name="_Toc534185829"/>
      <w:bookmarkStart w:id="502" w:name="_Toc287607865"/>
      <w:r>
        <w:rPr>
          <w:rFonts w:hint="eastAsia" w:ascii="宋体" w:hAnsi="宋体"/>
          <w:color w:val="auto"/>
          <w:highlight w:val="none"/>
        </w:rPr>
        <w:t>第</w:t>
      </w:r>
      <w:r>
        <w:rPr>
          <w:rFonts w:hint="eastAsia" w:ascii="宋体" w:hAnsi="宋体"/>
          <w:color w:val="auto"/>
          <w:highlight w:val="none"/>
          <w:lang w:val="en-US" w:eastAsia="zh-CN"/>
        </w:rPr>
        <w:t>六</w:t>
      </w:r>
      <w:r>
        <w:rPr>
          <w:rFonts w:hint="eastAsia" w:ascii="宋体" w:hAnsi="宋体"/>
          <w:color w:val="auto"/>
          <w:highlight w:val="none"/>
        </w:rPr>
        <w:t xml:space="preserve">章  </w:t>
      </w:r>
      <w:r>
        <w:rPr>
          <w:rFonts w:hint="eastAsia" w:ascii="宋体" w:hAnsi="宋体"/>
          <w:color w:val="auto"/>
          <w:highlight w:val="none"/>
          <w:lang w:eastAsia="zh-CN"/>
        </w:rPr>
        <w:t>竞选文件</w:t>
      </w:r>
      <w:r>
        <w:rPr>
          <w:rFonts w:hint="eastAsia" w:ascii="宋体" w:hAnsi="宋体"/>
          <w:color w:val="auto"/>
          <w:highlight w:val="none"/>
        </w:rPr>
        <w:t>格式</w:t>
      </w:r>
      <w:bookmarkEnd w:id="496"/>
      <w:bookmarkEnd w:id="497"/>
      <w:bookmarkEnd w:id="498"/>
      <w:bookmarkEnd w:id="499"/>
      <w:bookmarkEnd w:id="500"/>
      <w:bookmarkEnd w:id="501"/>
      <w:bookmarkEnd w:id="502"/>
    </w:p>
    <w:p w14:paraId="346F31CA">
      <w:pPr>
        <w:spacing w:line="360" w:lineRule="auto"/>
        <w:rPr>
          <w:rFonts w:ascii="宋体" w:hAnsi="宋体"/>
          <w:color w:val="auto"/>
          <w:sz w:val="32"/>
          <w:szCs w:val="32"/>
          <w:highlight w:val="none"/>
        </w:rPr>
      </w:pPr>
    </w:p>
    <w:p w14:paraId="4715697C">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503" w:name="_Toc224103493"/>
      <w:r>
        <w:rPr>
          <w:rFonts w:hint="eastAsia" w:ascii="宋体" w:hAnsi="宋体"/>
          <w:color w:val="auto"/>
          <w:sz w:val="36"/>
          <w:szCs w:val="36"/>
          <w:highlight w:val="none"/>
        </w:rPr>
        <w:t>目  录</w:t>
      </w:r>
      <w:bookmarkEnd w:id="503"/>
    </w:p>
    <w:p w14:paraId="0F859289">
      <w:pPr>
        <w:spacing w:line="360" w:lineRule="auto"/>
        <w:jc w:val="center"/>
        <w:rPr>
          <w:rFonts w:ascii="宋体" w:hAnsi="宋体"/>
          <w:color w:val="auto"/>
          <w:szCs w:val="20"/>
          <w:highlight w:val="none"/>
        </w:rPr>
      </w:pPr>
    </w:p>
    <w:p w14:paraId="51757396">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（一）</w:t>
      </w:r>
      <w:r>
        <w:rPr>
          <w:rFonts w:hint="eastAsia" w:ascii="宋体" w:hAnsi="宋体"/>
          <w:color w:val="auto"/>
          <w:highlight w:val="none"/>
          <w:lang w:eastAsia="zh-CN"/>
        </w:rPr>
        <w:t>竞选函</w:t>
      </w:r>
    </w:p>
    <w:p w14:paraId="111CB2AC">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2D36EBC1">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w:t>
      </w:r>
      <w:r>
        <w:rPr>
          <w:rFonts w:hint="eastAsia" w:ascii="宋体" w:hAnsi="宋体"/>
          <w:color w:val="auto"/>
          <w:highlight w:val="none"/>
          <w:lang w:val="en-US" w:eastAsia="zh-CN"/>
        </w:rPr>
        <w:t>拟派人员</w:t>
      </w:r>
    </w:p>
    <w:p w14:paraId="0F7FEB6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）类似项目情况表</w:t>
      </w:r>
    </w:p>
    <w:p w14:paraId="6D6DCA86">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7F79C3BE">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技术方案</w:t>
      </w:r>
    </w:p>
    <w:p w14:paraId="56307D33">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七</w:t>
      </w:r>
      <w:r>
        <w:rPr>
          <w:rFonts w:hint="eastAsia" w:ascii="宋体" w:hAnsi="宋体"/>
          <w:color w:val="auto"/>
          <w:highlight w:val="none"/>
          <w:lang w:eastAsia="zh-CN"/>
        </w:rPr>
        <w:t>）</w:t>
      </w:r>
      <w:r>
        <w:rPr>
          <w:rFonts w:ascii="宋体" w:hAnsi="宋体"/>
          <w:color w:val="auto"/>
          <w:highlight w:val="none"/>
        </w:rPr>
        <w:t>其他资料</w:t>
      </w:r>
    </w:p>
    <w:p w14:paraId="2B52BD2A">
      <w:pPr>
        <w:spacing w:line="360" w:lineRule="auto"/>
        <w:ind w:firstLine="420" w:firstLineChars="200"/>
        <w:rPr>
          <w:rFonts w:ascii="宋体" w:hAnsi="宋体"/>
          <w:color w:val="auto"/>
          <w:highlight w:val="none"/>
        </w:rPr>
      </w:pPr>
    </w:p>
    <w:p w14:paraId="7CA35613">
      <w:pPr>
        <w:spacing w:line="360" w:lineRule="auto"/>
        <w:rPr>
          <w:rFonts w:ascii="宋体" w:hAnsi="宋体"/>
          <w:color w:val="auto"/>
          <w:highlight w:val="none"/>
        </w:rPr>
      </w:pPr>
    </w:p>
    <w:p w14:paraId="48B6F4B2">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504" w:name="_Toc277082642"/>
      <w:bookmarkStart w:id="505" w:name="_Toc287620813"/>
      <w:bookmarkStart w:id="506" w:name="_Toc224103494"/>
      <w:bookmarkStart w:id="507" w:name="_Toc430530529"/>
      <w:bookmarkStart w:id="508" w:name="_Toc287607866"/>
    </w:p>
    <w:bookmarkEnd w:id="504"/>
    <w:bookmarkEnd w:id="505"/>
    <w:bookmarkEnd w:id="506"/>
    <w:bookmarkEnd w:id="507"/>
    <w:bookmarkEnd w:id="508"/>
    <w:p w14:paraId="10DDA3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BB4270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32B305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7D7067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25AD8B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3A5D61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5BA4F5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标 文 件</w:t>
      </w:r>
    </w:p>
    <w:p w14:paraId="3FC43AF8">
      <w:pPr>
        <w:autoSpaceDE w:val="0"/>
        <w:autoSpaceDN w:val="0"/>
        <w:adjustRightInd w:val="0"/>
        <w:snapToGrid w:val="0"/>
        <w:spacing w:line="360" w:lineRule="auto"/>
        <w:jc w:val="left"/>
        <w:rPr>
          <w:rFonts w:ascii="宋体" w:hAnsi="宋体"/>
          <w:color w:val="auto"/>
          <w:kern w:val="0"/>
          <w:sz w:val="16"/>
          <w:szCs w:val="16"/>
          <w:highlight w:val="none"/>
        </w:rPr>
      </w:pPr>
    </w:p>
    <w:p w14:paraId="76E1D0E4">
      <w:pPr>
        <w:autoSpaceDE w:val="0"/>
        <w:autoSpaceDN w:val="0"/>
        <w:adjustRightInd w:val="0"/>
        <w:snapToGrid w:val="0"/>
        <w:spacing w:line="360" w:lineRule="auto"/>
        <w:jc w:val="left"/>
        <w:rPr>
          <w:rFonts w:ascii="宋体" w:hAnsi="宋体"/>
          <w:b/>
          <w:color w:val="auto"/>
          <w:kern w:val="0"/>
          <w:sz w:val="20"/>
          <w:szCs w:val="20"/>
          <w:highlight w:val="none"/>
        </w:rPr>
      </w:pPr>
    </w:p>
    <w:p w14:paraId="40B8CD45">
      <w:pPr>
        <w:autoSpaceDE w:val="0"/>
        <w:autoSpaceDN w:val="0"/>
        <w:adjustRightInd w:val="0"/>
        <w:snapToGrid w:val="0"/>
        <w:spacing w:line="360" w:lineRule="auto"/>
        <w:jc w:val="left"/>
        <w:rPr>
          <w:rFonts w:ascii="宋体" w:hAnsi="宋体"/>
          <w:b/>
          <w:color w:val="auto"/>
          <w:kern w:val="0"/>
          <w:sz w:val="20"/>
          <w:szCs w:val="20"/>
          <w:highlight w:val="none"/>
        </w:rPr>
      </w:pPr>
    </w:p>
    <w:p w14:paraId="260E3FF7">
      <w:pPr>
        <w:autoSpaceDE w:val="0"/>
        <w:autoSpaceDN w:val="0"/>
        <w:adjustRightInd w:val="0"/>
        <w:snapToGrid w:val="0"/>
        <w:spacing w:line="360" w:lineRule="auto"/>
        <w:jc w:val="left"/>
        <w:rPr>
          <w:rFonts w:ascii="宋体" w:hAnsi="宋体"/>
          <w:b/>
          <w:color w:val="auto"/>
          <w:kern w:val="0"/>
          <w:sz w:val="20"/>
          <w:szCs w:val="20"/>
          <w:highlight w:val="none"/>
        </w:rPr>
      </w:pPr>
    </w:p>
    <w:p w14:paraId="6056F48E">
      <w:pPr>
        <w:autoSpaceDE w:val="0"/>
        <w:autoSpaceDN w:val="0"/>
        <w:adjustRightInd w:val="0"/>
        <w:snapToGrid w:val="0"/>
        <w:spacing w:line="360" w:lineRule="auto"/>
        <w:jc w:val="left"/>
        <w:rPr>
          <w:rFonts w:ascii="宋体" w:hAnsi="宋体"/>
          <w:b/>
          <w:color w:val="auto"/>
          <w:kern w:val="0"/>
          <w:sz w:val="20"/>
          <w:szCs w:val="20"/>
          <w:highlight w:val="none"/>
        </w:rPr>
      </w:pPr>
    </w:p>
    <w:p w14:paraId="51A60329">
      <w:pPr>
        <w:autoSpaceDE w:val="0"/>
        <w:autoSpaceDN w:val="0"/>
        <w:adjustRightInd w:val="0"/>
        <w:snapToGrid w:val="0"/>
        <w:spacing w:line="360" w:lineRule="auto"/>
        <w:jc w:val="left"/>
        <w:rPr>
          <w:rFonts w:ascii="宋体" w:hAnsi="宋体"/>
          <w:b/>
          <w:color w:val="auto"/>
          <w:kern w:val="0"/>
          <w:sz w:val="20"/>
          <w:szCs w:val="20"/>
          <w:highlight w:val="none"/>
        </w:rPr>
      </w:pPr>
    </w:p>
    <w:p w14:paraId="1CE477AC">
      <w:pPr>
        <w:autoSpaceDE w:val="0"/>
        <w:autoSpaceDN w:val="0"/>
        <w:adjustRightInd w:val="0"/>
        <w:snapToGrid w:val="0"/>
        <w:spacing w:line="360" w:lineRule="auto"/>
        <w:jc w:val="left"/>
        <w:rPr>
          <w:rFonts w:ascii="宋体" w:hAnsi="宋体"/>
          <w:b/>
          <w:color w:val="auto"/>
          <w:kern w:val="0"/>
          <w:sz w:val="20"/>
          <w:szCs w:val="20"/>
          <w:highlight w:val="none"/>
        </w:rPr>
      </w:pPr>
    </w:p>
    <w:p w14:paraId="47A41148">
      <w:pPr>
        <w:autoSpaceDE w:val="0"/>
        <w:autoSpaceDN w:val="0"/>
        <w:adjustRightInd w:val="0"/>
        <w:snapToGrid w:val="0"/>
        <w:spacing w:line="360" w:lineRule="auto"/>
        <w:jc w:val="left"/>
        <w:rPr>
          <w:rFonts w:ascii="宋体" w:hAnsi="宋体"/>
          <w:b/>
          <w:color w:val="auto"/>
          <w:kern w:val="0"/>
          <w:sz w:val="20"/>
          <w:szCs w:val="20"/>
          <w:highlight w:val="none"/>
        </w:rPr>
      </w:pPr>
    </w:p>
    <w:p w14:paraId="1D1E19B1">
      <w:pPr>
        <w:autoSpaceDE w:val="0"/>
        <w:autoSpaceDN w:val="0"/>
        <w:adjustRightInd w:val="0"/>
        <w:snapToGrid w:val="0"/>
        <w:spacing w:line="360" w:lineRule="auto"/>
        <w:jc w:val="left"/>
        <w:rPr>
          <w:rFonts w:ascii="宋体" w:hAnsi="宋体"/>
          <w:b/>
          <w:color w:val="auto"/>
          <w:kern w:val="0"/>
          <w:sz w:val="20"/>
          <w:szCs w:val="20"/>
          <w:highlight w:val="none"/>
        </w:rPr>
      </w:pPr>
    </w:p>
    <w:p w14:paraId="475C1A28">
      <w:pPr>
        <w:autoSpaceDE w:val="0"/>
        <w:autoSpaceDN w:val="0"/>
        <w:adjustRightInd w:val="0"/>
        <w:snapToGrid w:val="0"/>
        <w:spacing w:line="360" w:lineRule="auto"/>
        <w:jc w:val="left"/>
        <w:rPr>
          <w:rFonts w:ascii="宋体" w:hAnsi="宋体"/>
          <w:b/>
          <w:color w:val="auto"/>
          <w:kern w:val="0"/>
          <w:sz w:val="20"/>
          <w:szCs w:val="20"/>
          <w:highlight w:val="none"/>
        </w:rPr>
      </w:pPr>
    </w:p>
    <w:p w14:paraId="272E8B01">
      <w:pPr>
        <w:autoSpaceDE w:val="0"/>
        <w:autoSpaceDN w:val="0"/>
        <w:adjustRightInd w:val="0"/>
        <w:snapToGrid w:val="0"/>
        <w:spacing w:line="360" w:lineRule="auto"/>
        <w:jc w:val="left"/>
        <w:rPr>
          <w:rFonts w:ascii="宋体" w:hAnsi="宋体"/>
          <w:b/>
          <w:color w:val="auto"/>
          <w:kern w:val="0"/>
          <w:sz w:val="20"/>
          <w:szCs w:val="20"/>
          <w:highlight w:val="none"/>
        </w:rPr>
      </w:pPr>
    </w:p>
    <w:p w14:paraId="1AD03207">
      <w:pPr>
        <w:autoSpaceDE w:val="0"/>
        <w:autoSpaceDN w:val="0"/>
        <w:adjustRightInd w:val="0"/>
        <w:snapToGrid w:val="0"/>
        <w:spacing w:line="360" w:lineRule="auto"/>
        <w:jc w:val="left"/>
        <w:rPr>
          <w:rFonts w:ascii="宋体" w:hAnsi="宋体"/>
          <w:b/>
          <w:color w:val="auto"/>
          <w:kern w:val="0"/>
          <w:sz w:val="20"/>
          <w:szCs w:val="20"/>
          <w:highlight w:val="none"/>
        </w:rPr>
      </w:pPr>
    </w:p>
    <w:p w14:paraId="4D8314F1">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18405CB">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4D0139F">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67E7E5F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D725769">
      <w:pPr>
        <w:autoSpaceDE w:val="0"/>
        <w:autoSpaceDN w:val="0"/>
        <w:adjustRightInd w:val="0"/>
        <w:snapToGrid w:val="0"/>
        <w:spacing w:line="360" w:lineRule="auto"/>
        <w:jc w:val="left"/>
        <w:rPr>
          <w:rFonts w:ascii="宋体" w:hAnsi="宋体"/>
          <w:color w:val="auto"/>
          <w:kern w:val="0"/>
          <w:sz w:val="24"/>
          <w:szCs w:val="21"/>
          <w:highlight w:val="none"/>
        </w:rPr>
      </w:pPr>
    </w:p>
    <w:p w14:paraId="23341676">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（一）竞选函</w:t>
      </w:r>
    </w:p>
    <w:p w14:paraId="4986C962">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（二）法定代表人身份证明或附有法定代表人身份证明的授权委托书</w:t>
      </w:r>
    </w:p>
    <w:p w14:paraId="76C29B0D">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（三）项目拟派人员</w:t>
      </w:r>
    </w:p>
    <w:p w14:paraId="120C9D51">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（四）类似项目情况表</w:t>
      </w:r>
    </w:p>
    <w:p w14:paraId="0C4EAC41">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（五）承诺</w:t>
      </w:r>
    </w:p>
    <w:p w14:paraId="08CC3FC8">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（六）技术方案</w:t>
      </w:r>
    </w:p>
    <w:p w14:paraId="05B39CFE">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（七）其他资料</w:t>
      </w:r>
    </w:p>
    <w:p w14:paraId="2A4A8341">
      <w:pPr>
        <w:autoSpaceDE w:val="0"/>
        <w:autoSpaceDN w:val="0"/>
        <w:adjustRightInd w:val="0"/>
        <w:snapToGrid w:val="0"/>
        <w:spacing w:line="360" w:lineRule="auto"/>
        <w:jc w:val="left"/>
        <w:rPr>
          <w:rFonts w:ascii="宋体" w:hAnsi="宋体"/>
          <w:color w:val="auto"/>
          <w:w w:val="99"/>
          <w:kern w:val="0"/>
          <w:sz w:val="28"/>
          <w:szCs w:val="28"/>
          <w:highlight w:val="none"/>
        </w:rPr>
      </w:pPr>
    </w:p>
    <w:p w14:paraId="55222600">
      <w:pPr>
        <w:pStyle w:val="6"/>
        <w:spacing w:before="0" w:after="0" w:line="400" w:lineRule="exact"/>
        <w:jc w:val="center"/>
        <w:rPr>
          <w:rFonts w:hint="eastAsia" w:ascii="宋体" w:hAnsi="宋体" w:eastAsia="宋体"/>
          <w:b w:val="0"/>
          <w:color w:val="auto"/>
          <w:highlight w:val="none"/>
          <w:lang w:eastAsia="zh-CN"/>
        </w:rPr>
      </w:pPr>
      <w:bookmarkStart w:id="509" w:name="_Toc430530530"/>
      <w:bookmarkStart w:id="510" w:name="_Toc287620814"/>
      <w:bookmarkStart w:id="511" w:name="_Toc224103495"/>
      <w:bookmarkStart w:id="512" w:name="_Toc287607867"/>
      <w:bookmarkStart w:id="513" w:name="_Toc509218854"/>
      <w:bookmarkStart w:id="514" w:name="_Toc277082643"/>
      <w:bookmarkStart w:id="515" w:name="_Toc534185831"/>
      <w:r>
        <w:rPr>
          <w:rFonts w:ascii="宋体" w:hAnsi="宋体"/>
          <w:color w:val="auto"/>
          <w:highlight w:val="none"/>
        </w:rPr>
        <w:br w:type="page"/>
      </w:r>
      <w:bookmarkStart w:id="568" w:name="_GoBack"/>
      <w:bookmarkStart w:id="516" w:name="_Toc26071"/>
      <w:bookmarkStart w:id="517" w:name="_Toc882"/>
      <w:bookmarkStart w:id="518" w:name="_Toc4019"/>
      <w:r>
        <w:rPr>
          <w:rFonts w:hint="eastAsia"/>
          <w:color w:val="auto"/>
          <w:highlight w:val="none"/>
        </w:rPr>
        <w:t>（一）</w:t>
      </w:r>
      <w:bookmarkEnd w:id="509"/>
      <w:bookmarkEnd w:id="510"/>
      <w:bookmarkEnd w:id="511"/>
      <w:bookmarkEnd w:id="512"/>
      <w:bookmarkEnd w:id="513"/>
      <w:bookmarkEnd w:id="514"/>
      <w:bookmarkEnd w:id="515"/>
      <w:bookmarkEnd w:id="516"/>
      <w:r>
        <w:rPr>
          <w:rFonts w:hint="eastAsia"/>
          <w:color w:val="auto"/>
          <w:highlight w:val="none"/>
          <w:lang w:eastAsia="zh-CN"/>
        </w:rPr>
        <w:t>竞选函</w:t>
      </w:r>
      <w:bookmarkEnd w:id="517"/>
      <w:bookmarkEnd w:id="518"/>
    </w:p>
    <w:p w14:paraId="580BB0D2">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63875C58">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w:t>
      </w:r>
      <w:r>
        <w:rPr>
          <w:rFonts w:hint="eastAsia" w:ascii="宋体" w:hAnsi="宋体"/>
          <w:snapToGrid w:val="0"/>
          <w:color w:val="auto"/>
          <w:kern w:val="0"/>
          <w:szCs w:val="21"/>
          <w:highlight w:val="none"/>
        </w:rPr>
        <w:t>愿意以人民币（大写）（¥</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）的投标总报价进行报价</w:t>
      </w:r>
      <w:r>
        <w:rPr>
          <w:rFonts w:ascii="宋体" w:hAnsi="宋体"/>
          <w:snapToGrid w:val="0"/>
          <w:color w:val="auto"/>
          <w:kern w:val="0"/>
          <w:szCs w:val="21"/>
          <w:highlight w:val="none"/>
        </w:rPr>
        <w:t>，投标总报价</w:t>
      </w:r>
      <w:r>
        <w:rPr>
          <w:rFonts w:hint="eastAsia" w:ascii="宋体" w:hAnsi="宋体"/>
          <w:snapToGrid w:val="0"/>
          <w:color w:val="auto"/>
          <w:kern w:val="0"/>
          <w:szCs w:val="21"/>
          <w:highlight w:val="none"/>
          <w:lang w:val="en-US" w:eastAsia="zh-CN"/>
        </w:rPr>
        <w:t>为</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元，</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服务期</w:t>
      </w:r>
      <w:r>
        <w:rPr>
          <w:rFonts w:hint="eastAsia" w:ascii="宋体" w:hAnsi="宋体"/>
          <w:snapToGrid w:val="0"/>
          <w:color w:val="auto"/>
          <w:kern w:val="0"/>
          <w:szCs w:val="21"/>
          <w:highlight w:val="none"/>
        </w:rPr>
        <w:t>达到招标文件的要求</w:t>
      </w:r>
      <w:r>
        <w:rPr>
          <w:rFonts w:ascii="宋体" w:hAnsi="宋体"/>
          <w:snapToGrid w:val="0"/>
          <w:color w:val="auto"/>
          <w:kern w:val="0"/>
          <w:szCs w:val="21"/>
          <w:highlight w:val="none"/>
        </w:rPr>
        <w:t>，按合同约定实施和完成</w:t>
      </w:r>
      <w:r>
        <w:rPr>
          <w:rFonts w:hint="eastAsia" w:ascii="宋体" w:hAnsi="宋体"/>
          <w:snapToGrid w:val="0"/>
          <w:color w:val="auto"/>
          <w:kern w:val="0"/>
          <w:szCs w:val="21"/>
          <w:highlight w:val="none"/>
          <w:lang w:val="en-US" w:eastAsia="zh-CN"/>
        </w:rPr>
        <w:t>本项目</w:t>
      </w:r>
      <w:r>
        <w:rPr>
          <w:rFonts w:ascii="宋体" w:hAnsi="宋体"/>
          <w:snapToGrid w:val="0"/>
          <w:color w:val="auto"/>
          <w:kern w:val="0"/>
          <w:szCs w:val="21"/>
          <w:highlight w:val="none"/>
        </w:rPr>
        <w:t>，质量达到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14:paraId="074B6B7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bookmarkEnd w:id="568"/>
    <w:p w14:paraId="2C9DD6E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774A136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3D05DEF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附录属于合同文件的组成部分。</w:t>
      </w:r>
    </w:p>
    <w:p w14:paraId="4DB887A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1C00BD4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37151153">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w:t>
      </w:r>
      <w:r>
        <w:rPr>
          <w:rFonts w:hint="eastAsia" w:ascii="宋体" w:hAnsi="宋体"/>
          <w:snapToGrid w:val="0"/>
          <w:color w:val="auto"/>
          <w:kern w:val="0"/>
          <w:szCs w:val="21"/>
          <w:highlight w:val="none"/>
          <w:lang w:val="en-US" w:eastAsia="zh-CN"/>
        </w:rPr>
        <w:t>五</w:t>
      </w:r>
      <w:r>
        <w:rPr>
          <w:rFonts w:hint="eastAsia" w:ascii="宋体" w:hAnsi="宋体"/>
          <w:snapToGrid w:val="0"/>
          <w:color w:val="auto"/>
          <w:kern w:val="0"/>
          <w:szCs w:val="21"/>
          <w:highlight w:val="none"/>
        </w:rPr>
        <w:t>章 技术标准和要求中所列的技术指标和参数要求完成全部合同工程。</w:t>
      </w:r>
    </w:p>
    <w:p w14:paraId="421508BA">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006F87E1">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3EFC2D6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D354CB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9B8846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6D83663">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9DEA95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05D4F3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65E548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6B0DA2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1387C0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16F372C0">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51CDCB2A">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4F48F397">
      <w:pPr>
        <w:pStyle w:val="6"/>
        <w:jc w:val="center"/>
        <w:rPr>
          <w:rFonts w:ascii="宋体" w:hAnsi="宋体"/>
          <w:b w:val="0"/>
          <w:snapToGrid w:val="0"/>
          <w:color w:val="auto"/>
          <w:kern w:val="0"/>
          <w:sz w:val="30"/>
          <w:szCs w:val="30"/>
          <w:highlight w:val="none"/>
        </w:rPr>
      </w:pPr>
      <w:bookmarkStart w:id="519" w:name="_Toc277082644"/>
      <w:bookmarkStart w:id="520" w:name="_Toc287620815"/>
      <w:bookmarkStart w:id="521" w:name="_Toc224103496"/>
      <w:bookmarkStart w:id="522" w:name="_Toc287607868"/>
      <w:bookmarkStart w:id="523" w:name="_Toc430530531"/>
      <w:r>
        <w:rPr>
          <w:rFonts w:ascii="宋体" w:hAnsi="宋体"/>
          <w:color w:val="auto"/>
          <w:sz w:val="28"/>
          <w:highlight w:val="none"/>
        </w:rPr>
        <w:br w:type="page"/>
      </w:r>
      <w:bookmarkStart w:id="524" w:name="_Toc509218855"/>
      <w:bookmarkStart w:id="525" w:name="_Toc534185832"/>
      <w:bookmarkStart w:id="526" w:name="_Toc30967"/>
      <w:bookmarkStart w:id="527" w:name="_Toc6045"/>
      <w:bookmarkStart w:id="528" w:name="_Toc24965"/>
      <w:r>
        <w:rPr>
          <w:color w:val="auto"/>
          <w:highlight w:val="none"/>
        </w:rPr>
        <w:t>（二）</w:t>
      </w:r>
      <w:bookmarkEnd w:id="519"/>
      <w:bookmarkEnd w:id="520"/>
      <w:bookmarkEnd w:id="521"/>
      <w:bookmarkEnd w:id="522"/>
      <w:bookmarkEnd w:id="523"/>
      <w:bookmarkEnd w:id="524"/>
      <w:bookmarkEnd w:id="525"/>
      <w:bookmarkEnd w:id="526"/>
      <w:bookmarkEnd w:id="527"/>
      <w:bookmarkStart w:id="529" w:name="_Toc224103497"/>
      <w:bookmarkStart w:id="530" w:name="_Toc430530532"/>
      <w:bookmarkStart w:id="531" w:name="_Toc287607869"/>
      <w:bookmarkStart w:id="532" w:name="_Toc20860"/>
      <w:bookmarkStart w:id="533" w:name="_Toc8650"/>
      <w:bookmarkStart w:id="534" w:name="_Toc287620816"/>
      <w:bookmarkStart w:id="535" w:name="_Toc277082645"/>
      <w:r>
        <w:rPr>
          <w:rFonts w:hint="eastAsia"/>
          <w:color w:val="auto"/>
          <w:sz w:val="30"/>
          <w:szCs w:val="30"/>
          <w:highlight w:val="none"/>
        </w:rPr>
        <w:t>法定代表人身份证明或附有法定代表人身份证明的授权委托书</w:t>
      </w:r>
      <w:bookmarkEnd w:id="528"/>
      <w:bookmarkEnd w:id="529"/>
      <w:bookmarkEnd w:id="530"/>
      <w:bookmarkEnd w:id="531"/>
      <w:bookmarkEnd w:id="532"/>
      <w:bookmarkEnd w:id="533"/>
      <w:bookmarkEnd w:id="534"/>
      <w:bookmarkEnd w:id="535"/>
    </w:p>
    <w:p w14:paraId="49F6A2B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11DBC82">
      <w:pPr>
        <w:spacing w:line="480" w:lineRule="auto"/>
        <w:jc w:val="center"/>
        <w:rPr>
          <w:rFonts w:ascii="宋体" w:hAnsi="宋体"/>
          <w:color w:val="auto"/>
          <w:highlight w:val="none"/>
        </w:rPr>
      </w:pPr>
    </w:p>
    <w:p w14:paraId="0F7E44B7">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7C30F4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466640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FE4E15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8675D0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81A9568">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55683C8">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682FFC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1E5964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A8E2468">
      <w:pPr>
        <w:pStyle w:val="20"/>
        <w:spacing w:after="0" w:line="360" w:lineRule="auto"/>
        <w:rPr>
          <w:rFonts w:ascii="宋体" w:hAnsi="宋体"/>
          <w:color w:val="auto"/>
          <w:szCs w:val="21"/>
          <w:highlight w:val="none"/>
        </w:rPr>
      </w:pPr>
    </w:p>
    <w:p w14:paraId="42674D31">
      <w:pPr>
        <w:pStyle w:val="20"/>
        <w:spacing w:after="0" w:line="360" w:lineRule="auto"/>
        <w:rPr>
          <w:rFonts w:ascii="宋体" w:hAnsi="宋体"/>
          <w:color w:val="auto"/>
          <w:szCs w:val="21"/>
          <w:highlight w:val="none"/>
        </w:rPr>
      </w:pPr>
    </w:p>
    <w:p w14:paraId="16246403">
      <w:pPr>
        <w:pStyle w:val="20"/>
        <w:spacing w:after="0" w:line="360" w:lineRule="auto"/>
        <w:rPr>
          <w:rFonts w:ascii="宋体" w:hAnsi="宋体"/>
          <w:color w:val="auto"/>
          <w:szCs w:val="21"/>
          <w:highlight w:val="none"/>
        </w:rPr>
      </w:pPr>
    </w:p>
    <w:p w14:paraId="1642CF1A">
      <w:pPr>
        <w:pStyle w:val="20"/>
        <w:spacing w:after="0" w:line="360" w:lineRule="auto"/>
        <w:rPr>
          <w:rFonts w:ascii="宋体" w:hAnsi="宋体"/>
          <w:color w:val="auto"/>
          <w:szCs w:val="21"/>
          <w:highlight w:val="none"/>
        </w:rPr>
      </w:pPr>
    </w:p>
    <w:p w14:paraId="076E605E">
      <w:pPr>
        <w:pStyle w:val="20"/>
        <w:spacing w:after="0" w:line="360" w:lineRule="auto"/>
        <w:rPr>
          <w:rFonts w:ascii="宋体" w:hAnsi="宋体"/>
          <w:color w:val="auto"/>
          <w:szCs w:val="21"/>
          <w:highlight w:val="none"/>
        </w:rPr>
      </w:pPr>
    </w:p>
    <w:p w14:paraId="6BA9D458">
      <w:pPr>
        <w:pStyle w:val="20"/>
        <w:spacing w:after="0" w:line="360" w:lineRule="auto"/>
        <w:rPr>
          <w:rFonts w:ascii="宋体" w:hAnsi="宋体"/>
          <w:color w:val="auto"/>
          <w:szCs w:val="21"/>
          <w:highlight w:val="none"/>
        </w:rPr>
      </w:pPr>
    </w:p>
    <w:p w14:paraId="55B6F0CC">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7F77025">
      <w:pPr>
        <w:autoSpaceDE w:val="0"/>
        <w:autoSpaceDN w:val="0"/>
        <w:adjustRightInd w:val="0"/>
        <w:snapToGrid w:val="0"/>
        <w:spacing w:line="480" w:lineRule="auto"/>
        <w:jc w:val="left"/>
        <w:rPr>
          <w:rFonts w:ascii="宋体" w:hAnsi="宋体"/>
          <w:color w:val="auto"/>
          <w:kern w:val="0"/>
          <w:sz w:val="20"/>
          <w:szCs w:val="20"/>
          <w:highlight w:val="none"/>
        </w:rPr>
      </w:pPr>
    </w:p>
    <w:p w14:paraId="3E7EEC2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EA762F1">
      <w:pPr>
        <w:autoSpaceDE w:val="0"/>
        <w:autoSpaceDN w:val="0"/>
        <w:adjustRightInd w:val="0"/>
        <w:snapToGrid w:val="0"/>
        <w:spacing w:line="360" w:lineRule="auto"/>
        <w:jc w:val="left"/>
        <w:rPr>
          <w:rFonts w:ascii="宋体" w:hAnsi="宋体"/>
          <w:color w:val="auto"/>
          <w:kern w:val="0"/>
          <w:highlight w:val="none"/>
        </w:rPr>
      </w:pPr>
    </w:p>
    <w:p w14:paraId="397E6228">
      <w:pPr>
        <w:autoSpaceDE w:val="0"/>
        <w:autoSpaceDN w:val="0"/>
        <w:adjustRightInd w:val="0"/>
        <w:snapToGrid w:val="0"/>
        <w:spacing w:line="360" w:lineRule="auto"/>
        <w:jc w:val="left"/>
        <w:rPr>
          <w:rFonts w:ascii="宋体" w:hAnsi="宋体"/>
          <w:color w:val="auto"/>
          <w:kern w:val="0"/>
          <w:highlight w:val="none"/>
        </w:rPr>
      </w:pPr>
    </w:p>
    <w:p w14:paraId="7146923B">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C721948">
      <w:pPr>
        <w:autoSpaceDE w:val="0"/>
        <w:autoSpaceDN w:val="0"/>
        <w:adjustRightInd w:val="0"/>
        <w:snapToGrid w:val="0"/>
        <w:spacing w:line="360" w:lineRule="auto"/>
        <w:jc w:val="left"/>
        <w:rPr>
          <w:rFonts w:ascii="宋体" w:hAnsi="宋体"/>
          <w:color w:val="auto"/>
          <w:kern w:val="0"/>
          <w:highlight w:val="none"/>
        </w:rPr>
      </w:pPr>
    </w:p>
    <w:p w14:paraId="6E56F77F">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3575BC4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7BFA590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539854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45FBAD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33A3F12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F9774E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003C63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D30E2C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6C4E2926">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D6C495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3156B5A">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2BAE47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0170AB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874D6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6AD838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B61389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901ABD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14245C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F4AEFB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4A873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559C207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565BE3D">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4F313C3">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14:paraId="732710AA">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38A8779">
      <w:pPr>
        <w:spacing w:line="360" w:lineRule="auto"/>
        <w:ind w:firstLine="420" w:firstLineChars="200"/>
        <w:rPr>
          <w:rFonts w:ascii="宋体" w:hAnsi="宋体"/>
          <w:color w:val="auto"/>
          <w:highlight w:val="none"/>
        </w:rPr>
      </w:pPr>
      <w:r>
        <w:rPr>
          <w:rFonts w:ascii="宋体" w:hAnsi="宋体"/>
          <w:color w:val="auto"/>
          <w:highlight w:val="none"/>
        </w:rPr>
        <w:br w:type="page"/>
      </w:r>
      <w:bookmarkStart w:id="536" w:name="_Toc224103500"/>
      <w:bookmarkStart w:id="537" w:name="_Toc287607872"/>
      <w:bookmarkStart w:id="538" w:name="_Toc287620819"/>
      <w:bookmarkStart w:id="539" w:name="_Toc430530534"/>
    </w:p>
    <w:bookmarkEnd w:id="536"/>
    <w:bookmarkEnd w:id="537"/>
    <w:bookmarkEnd w:id="538"/>
    <w:bookmarkEnd w:id="539"/>
    <w:p w14:paraId="2164C11B">
      <w:pPr>
        <w:pStyle w:val="6"/>
        <w:spacing w:before="0" w:after="0" w:line="240" w:lineRule="auto"/>
        <w:jc w:val="center"/>
        <w:rPr>
          <w:rFonts w:hint="eastAsia" w:ascii="宋体" w:hAnsi="宋体" w:eastAsia="宋体"/>
          <w:b w:val="0"/>
          <w:bCs w:val="0"/>
          <w:color w:val="auto"/>
          <w:highlight w:val="none"/>
          <w:lang w:eastAsia="zh-CN"/>
        </w:rPr>
      </w:pPr>
      <w:bookmarkStart w:id="540" w:name="_Toc534185840"/>
      <w:bookmarkStart w:id="541" w:name="_Toc509218863"/>
      <w:bookmarkStart w:id="542" w:name="_Toc31370"/>
      <w:bookmarkStart w:id="543" w:name="_Toc25150"/>
      <w:bookmarkStart w:id="544" w:name="_Toc430530552"/>
      <w:bookmarkStart w:id="545" w:name="_Toc224103520"/>
      <w:bookmarkStart w:id="546" w:name="_Toc287620839"/>
      <w:bookmarkStart w:id="547" w:name="_Toc277082663"/>
      <w:bookmarkStart w:id="548" w:name="_Toc287607893"/>
      <w:bookmarkStart w:id="549" w:name="_Toc509218866"/>
      <w:bookmarkStart w:id="550" w:name="_Toc534185843"/>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w:t>
      </w:r>
      <w:bookmarkEnd w:id="540"/>
      <w:bookmarkEnd w:id="541"/>
      <w:bookmarkEnd w:id="542"/>
      <w:r>
        <w:rPr>
          <w:rFonts w:hint="eastAsia" w:ascii="宋体" w:hAnsi="宋体"/>
          <w:b w:val="0"/>
          <w:bCs w:val="0"/>
          <w:color w:val="auto"/>
          <w:highlight w:val="none"/>
          <w:lang w:val="en-US" w:eastAsia="zh-CN"/>
        </w:rPr>
        <w:t>拟派人员</w:t>
      </w:r>
      <w:bookmarkEnd w:id="543"/>
    </w:p>
    <w:p w14:paraId="2EC5EC3A">
      <w:pPr>
        <w:spacing w:line="360" w:lineRule="auto"/>
        <w:rPr>
          <w:rFonts w:ascii="宋体" w:hAnsi="宋体"/>
          <w:color w:val="auto"/>
          <w:highlight w:val="none"/>
        </w:rPr>
      </w:pPr>
    </w:p>
    <w:p w14:paraId="40D49973">
      <w:pPr>
        <w:rPr>
          <w:rFonts w:hint="eastAsia" w:ascii="宋体" w:hAnsi="宋体"/>
          <w:b w:val="0"/>
          <w:color w:val="auto"/>
          <w:highlight w:val="none"/>
        </w:rPr>
      </w:pPr>
      <w:bookmarkStart w:id="551" w:name="_Toc224103515"/>
      <w:bookmarkStart w:id="552" w:name="_Toc509218864"/>
      <w:bookmarkStart w:id="553" w:name="_Toc277082660"/>
      <w:bookmarkStart w:id="554" w:name="_Toc287620834"/>
      <w:bookmarkStart w:id="555" w:name="_Toc430530550"/>
      <w:bookmarkStart w:id="556" w:name="_Toc20337"/>
      <w:bookmarkStart w:id="557" w:name="_Toc534185841"/>
      <w:bookmarkStart w:id="558" w:name="_Toc287607888"/>
      <w:r>
        <w:rPr>
          <w:rFonts w:hint="eastAsia" w:ascii="宋体" w:hAnsi="宋体"/>
          <w:b w:val="0"/>
          <w:color w:val="auto"/>
          <w:highlight w:val="none"/>
        </w:rPr>
        <w:br w:type="page"/>
      </w:r>
    </w:p>
    <w:p w14:paraId="23864089">
      <w:pPr>
        <w:pStyle w:val="6"/>
        <w:spacing w:before="0" w:line="240" w:lineRule="auto"/>
        <w:jc w:val="center"/>
        <w:rPr>
          <w:rFonts w:ascii="宋体" w:hAnsi="宋体"/>
          <w:b w:val="0"/>
          <w:color w:val="auto"/>
          <w:highlight w:val="none"/>
        </w:rPr>
      </w:pPr>
      <w:bookmarkStart w:id="559" w:name="_Toc316"/>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w:t>
      </w:r>
      <w:bookmarkEnd w:id="544"/>
      <w:bookmarkEnd w:id="545"/>
      <w:bookmarkEnd w:id="546"/>
      <w:bookmarkEnd w:id="547"/>
      <w:bookmarkEnd w:id="548"/>
      <w:bookmarkEnd w:id="551"/>
      <w:bookmarkEnd w:id="552"/>
      <w:bookmarkEnd w:id="553"/>
      <w:bookmarkEnd w:id="554"/>
      <w:bookmarkEnd w:id="555"/>
      <w:bookmarkEnd w:id="556"/>
      <w:bookmarkEnd w:id="557"/>
      <w:bookmarkEnd w:id="558"/>
      <w:bookmarkStart w:id="560" w:name="_Toc3019"/>
      <w:bookmarkStart w:id="561" w:name="_Toc509218865"/>
      <w:bookmarkStart w:id="562" w:name="_Toc534185842"/>
      <w:r>
        <w:rPr>
          <w:rFonts w:ascii="宋体" w:hAnsi="宋体"/>
          <w:b w:val="0"/>
          <w:color w:val="auto"/>
          <w:highlight w:val="none"/>
        </w:rPr>
        <w:t>类似项目情况表</w:t>
      </w:r>
      <w:bookmarkEnd w:id="559"/>
      <w:bookmarkEnd w:id="560"/>
      <w:bookmarkEnd w:id="561"/>
      <w:bookmarkEnd w:id="562"/>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0EAC5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76DD822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509B6867">
            <w:pPr>
              <w:autoSpaceDE w:val="0"/>
              <w:autoSpaceDN w:val="0"/>
              <w:adjustRightInd w:val="0"/>
              <w:snapToGrid w:val="0"/>
              <w:jc w:val="center"/>
              <w:rPr>
                <w:rFonts w:ascii="宋体" w:hAnsi="宋体"/>
                <w:color w:val="auto"/>
                <w:kern w:val="0"/>
                <w:szCs w:val="21"/>
                <w:highlight w:val="none"/>
              </w:rPr>
            </w:pPr>
          </w:p>
        </w:tc>
      </w:tr>
      <w:tr w14:paraId="4066F8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2B0D2C2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28A6F422">
            <w:pPr>
              <w:autoSpaceDE w:val="0"/>
              <w:autoSpaceDN w:val="0"/>
              <w:adjustRightInd w:val="0"/>
              <w:snapToGrid w:val="0"/>
              <w:jc w:val="center"/>
              <w:rPr>
                <w:rFonts w:ascii="宋体" w:hAnsi="宋体"/>
                <w:color w:val="auto"/>
                <w:kern w:val="0"/>
                <w:szCs w:val="21"/>
                <w:highlight w:val="none"/>
              </w:rPr>
            </w:pPr>
          </w:p>
        </w:tc>
      </w:tr>
      <w:tr w14:paraId="4F585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F68036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7A8E02CD">
            <w:pPr>
              <w:autoSpaceDE w:val="0"/>
              <w:autoSpaceDN w:val="0"/>
              <w:adjustRightInd w:val="0"/>
              <w:snapToGrid w:val="0"/>
              <w:jc w:val="center"/>
              <w:rPr>
                <w:rFonts w:ascii="宋体" w:hAnsi="宋体"/>
                <w:color w:val="auto"/>
                <w:kern w:val="0"/>
                <w:szCs w:val="21"/>
                <w:highlight w:val="none"/>
              </w:rPr>
            </w:pPr>
          </w:p>
        </w:tc>
      </w:tr>
      <w:tr w14:paraId="649027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16931F2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151A080B">
            <w:pPr>
              <w:autoSpaceDE w:val="0"/>
              <w:autoSpaceDN w:val="0"/>
              <w:adjustRightInd w:val="0"/>
              <w:snapToGrid w:val="0"/>
              <w:jc w:val="center"/>
              <w:rPr>
                <w:rFonts w:ascii="宋体" w:hAnsi="宋体"/>
                <w:color w:val="auto"/>
                <w:kern w:val="0"/>
                <w:szCs w:val="21"/>
                <w:highlight w:val="none"/>
              </w:rPr>
            </w:pPr>
          </w:p>
        </w:tc>
      </w:tr>
      <w:tr w14:paraId="7855BD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6808C99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7DFA20C8">
            <w:pPr>
              <w:autoSpaceDE w:val="0"/>
              <w:autoSpaceDN w:val="0"/>
              <w:adjustRightInd w:val="0"/>
              <w:snapToGrid w:val="0"/>
              <w:jc w:val="center"/>
              <w:rPr>
                <w:rFonts w:ascii="宋体" w:hAnsi="宋体"/>
                <w:color w:val="auto"/>
                <w:kern w:val="0"/>
                <w:szCs w:val="21"/>
                <w:highlight w:val="none"/>
              </w:rPr>
            </w:pPr>
          </w:p>
        </w:tc>
      </w:tr>
      <w:tr w14:paraId="510F3F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64707A9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4208144B">
            <w:pPr>
              <w:autoSpaceDE w:val="0"/>
              <w:autoSpaceDN w:val="0"/>
              <w:adjustRightInd w:val="0"/>
              <w:snapToGrid w:val="0"/>
              <w:jc w:val="center"/>
              <w:rPr>
                <w:rFonts w:ascii="宋体" w:hAnsi="宋体"/>
                <w:color w:val="auto"/>
                <w:kern w:val="0"/>
                <w:szCs w:val="21"/>
                <w:highlight w:val="none"/>
              </w:rPr>
            </w:pPr>
          </w:p>
        </w:tc>
      </w:tr>
      <w:tr w14:paraId="5473A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57DE2E3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4A748203">
            <w:pPr>
              <w:autoSpaceDE w:val="0"/>
              <w:autoSpaceDN w:val="0"/>
              <w:adjustRightInd w:val="0"/>
              <w:snapToGrid w:val="0"/>
              <w:jc w:val="center"/>
              <w:rPr>
                <w:rFonts w:ascii="宋体" w:hAnsi="宋体"/>
                <w:color w:val="auto"/>
                <w:kern w:val="0"/>
                <w:szCs w:val="21"/>
                <w:highlight w:val="none"/>
              </w:rPr>
            </w:pPr>
          </w:p>
        </w:tc>
      </w:tr>
      <w:tr w14:paraId="628AC2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08A38DA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130BD8CC">
            <w:pPr>
              <w:autoSpaceDE w:val="0"/>
              <w:autoSpaceDN w:val="0"/>
              <w:adjustRightInd w:val="0"/>
              <w:snapToGrid w:val="0"/>
              <w:jc w:val="center"/>
              <w:rPr>
                <w:rFonts w:ascii="宋体" w:hAnsi="宋体"/>
                <w:color w:val="auto"/>
                <w:kern w:val="0"/>
                <w:szCs w:val="21"/>
                <w:highlight w:val="none"/>
              </w:rPr>
            </w:pPr>
          </w:p>
        </w:tc>
      </w:tr>
      <w:tr w14:paraId="5AAFD5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077DE49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1DB9E117">
            <w:pPr>
              <w:autoSpaceDE w:val="0"/>
              <w:autoSpaceDN w:val="0"/>
              <w:adjustRightInd w:val="0"/>
              <w:snapToGrid w:val="0"/>
              <w:jc w:val="center"/>
              <w:rPr>
                <w:rFonts w:ascii="宋体" w:hAnsi="宋体"/>
                <w:color w:val="auto"/>
                <w:kern w:val="0"/>
                <w:szCs w:val="21"/>
                <w:highlight w:val="none"/>
              </w:rPr>
            </w:pPr>
          </w:p>
        </w:tc>
      </w:tr>
      <w:tr w14:paraId="73CA6A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396123C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149719CA">
            <w:pPr>
              <w:autoSpaceDE w:val="0"/>
              <w:autoSpaceDN w:val="0"/>
              <w:adjustRightInd w:val="0"/>
              <w:snapToGrid w:val="0"/>
              <w:jc w:val="center"/>
              <w:rPr>
                <w:rFonts w:ascii="宋体" w:hAnsi="宋体"/>
                <w:color w:val="auto"/>
                <w:kern w:val="0"/>
                <w:szCs w:val="21"/>
                <w:highlight w:val="none"/>
              </w:rPr>
            </w:pPr>
          </w:p>
        </w:tc>
      </w:tr>
    </w:tbl>
    <w:p w14:paraId="48F8D8B6">
      <w:pPr>
        <w:rPr>
          <w:rFonts w:ascii="宋体" w:hAnsi="宋体"/>
          <w:color w:val="auto"/>
          <w:highlight w:val="none"/>
        </w:rPr>
      </w:pPr>
      <w:r>
        <w:rPr>
          <w:rFonts w:ascii="宋体" w:hAnsi="宋体"/>
          <w:color w:val="auto"/>
          <w:highlight w:val="none"/>
        </w:rPr>
        <w:br w:type="page"/>
      </w:r>
    </w:p>
    <w:p w14:paraId="15412FB2">
      <w:pPr>
        <w:pStyle w:val="6"/>
        <w:spacing w:before="0" w:after="0" w:line="360" w:lineRule="auto"/>
        <w:jc w:val="center"/>
        <w:rPr>
          <w:rFonts w:ascii="宋体" w:hAnsi="宋体"/>
          <w:b w:val="0"/>
          <w:color w:val="auto"/>
          <w:highlight w:val="none"/>
        </w:rPr>
      </w:pPr>
      <w:bookmarkStart w:id="563" w:name="_Toc30136"/>
      <w:bookmarkStart w:id="564" w:name="_Toc11964"/>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r>
        <w:rPr>
          <w:rFonts w:hint="eastAsia" w:ascii="宋体" w:hAnsi="宋体"/>
          <w:b w:val="0"/>
          <w:color w:val="auto"/>
          <w:highlight w:val="none"/>
        </w:rPr>
        <w:t>承诺</w:t>
      </w:r>
      <w:bookmarkEnd w:id="563"/>
      <w:bookmarkEnd w:id="564"/>
    </w:p>
    <w:p w14:paraId="407627D0">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68364F5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52A48A6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3F38A191">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6C5198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（2）被“信用中国”网站(www.creditchina.gov.cn) 列为失信被 执行人；</w:t>
      </w:r>
    </w:p>
    <w:p w14:paraId="2229C91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（3）被国家、重庆市（含市或任意区县）有关行政部门处以暂停投标资格行政处罚，且在处罚期限内；</w:t>
      </w:r>
    </w:p>
    <w:p w14:paraId="4E7E4AC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2D8C37D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05BCF6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 投标人须知第 1.4.3 项规定的任何一种情形。</w:t>
      </w:r>
    </w:p>
    <w:p w14:paraId="19D3D4B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、我公司的投标文件符合第二章 投标人须知第 1.3.1 项的规定。</w:t>
      </w:r>
    </w:p>
    <w:p w14:paraId="3830CCF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2BFCDD8F">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w:t>
      </w:r>
      <w:r>
        <w:rPr>
          <w:rFonts w:hint="eastAsia" w:ascii="宋体" w:hAnsi="宋体"/>
          <w:color w:val="auto"/>
          <w:szCs w:val="21"/>
          <w:highlight w:val="none"/>
          <w:lang w:val="en-US" w:eastAsia="zh-CN"/>
        </w:rPr>
        <w:t>五</w:t>
      </w:r>
      <w:r>
        <w:rPr>
          <w:rFonts w:hint="eastAsia" w:ascii="宋体" w:hAnsi="宋体"/>
          <w:color w:val="auto"/>
          <w:szCs w:val="21"/>
          <w:highlight w:val="none"/>
        </w:rPr>
        <w:t>章 技术标准和要求（如有）。</w:t>
      </w:r>
    </w:p>
    <w:p w14:paraId="4E59130E">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549"/>
    <w:bookmarkEnd w:id="550"/>
    <w:p w14:paraId="64A5BB50">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F83F016">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627C8E8">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753162BC">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706826A3">
      <w:pPr>
        <w:rPr>
          <w:color w:val="auto"/>
          <w:highlight w:val="none"/>
        </w:rPr>
      </w:pPr>
      <w:r>
        <w:rPr>
          <w:color w:val="auto"/>
          <w:highlight w:val="none"/>
        </w:rPr>
        <w:br w:type="page"/>
      </w:r>
    </w:p>
    <w:p w14:paraId="3A7D1A5E">
      <w:pPr>
        <w:pStyle w:val="6"/>
        <w:numPr>
          <w:ilvl w:val="0"/>
          <w:numId w:val="3"/>
        </w:numPr>
        <w:spacing w:before="0" w:line="360" w:lineRule="auto"/>
        <w:jc w:val="center"/>
        <w:rPr>
          <w:rFonts w:hint="eastAsia" w:ascii="宋体" w:hAnsi="宋体"/>
          <w:b w:val="0"/>
          <w:color w:val="auto"/>
          <w:highlight w:val="none"/>
          <w:lang w:val="en-US" w:eastAsia="zh-CN"/>
        </w:rPr>
      </w:pPr>
      <w:bookmarkStart w:id="565" w:name="_Toc17679"/>
      <w:bookmarkStart w:id="566" w:name="_Toc25182"/>
      <w:r>
        <w:rPr>
          <w:rFonts w:hint="eastAsia" w:ascii="宋体" w:hAnsi="宋体"/>
          <w:b w:val="0"/>
          <w:color w:val="auto"/>
          <w:highlight w:val="none"/>
          <w:lang w:val="en-US" w:eastAsia="zh-CN"/>
        </w:rPr>
        <w:t>技术方案</w:t>
      </w:r>
      <w:bookmarkEnd w:id="565"/>
    </w:p>
    <w:p w14:paraId="0E337C67">
      <w:pPr>
        <w:numPr>
          <w:ilvl w:val="0"/>
          <w:numId w:val="0"/>
        </w:numPr>
        <w:jc w:val="center"/>
        <w:rPr>
          <w:rFonts w:hint="eastAsia"/>
          <w:color w:val="auto"/>
          <w:lang w:val="en-US" w:eastAsia="zh-CN"/>
        </w:rPr>
      </w:pPr>
      <w:r>
        <w:rPr>
          <w:rFonts w:hint="eastAsia"/>
          <w:color w:val="auto"/>
          <w:lang w:val="en-US" w:eastAsia="zh-CN"/>
        </w:rPr>
        <w:t>（格式自拟）</w:t>
      </w:r>
    </w:p>
    <w:p w14:paraId="51DDE23E">
      <w:pPr>
        <w:rPr>
          <w:rFonts w:hint="eastAsia" w:ascii="宋体" w:hAnsi="宋体"/>
          <w:b w:val="0"/>
          <w:color w:val="auto"/>
          <w:highlight w:val="none"/>
          <w:lang w:val="en-US" w:eastAsia="zh-CN"/>
        </w:rPr>
      </w:pPr>
      <w:r>
        <w:rPr>
          <w:rFonts w:hint="eastAsia" w:ascii="宋体" w:hAnsi="宋体"/>
          <w:b w:val="0"/>
          <w:color w:val="auto"/>
          <w:highlight w:val="none"/>
          <w:lang w:val="en-US" w:eastAsia="zh-CN"/>
        </w:rPr>
        <w:br w:type="page"/>
      </w:r>
    </w:p>
    <w:p w14:paraId="26C648E6">
      <w:pPr>
        <w:rPr>
          <w:rFonts w:hint="eastAsia"/>
          <w:color w:val="auto"/>
          <w:lang w:eastAsia="zh-CN"/>
        </w:rPr>
      </w:pPr>
    </w:p>
    <w:p w14:paraId="0EC8BCE4">
      <w:pPr>
        <w:pStyle w:val="6"/>
        <w:spacing w:before="0" w:line="360" w:lineRule="auto"/>
        <w:jc w:val="center"/>
        <w:rPr>
          <w:rFonts w:ascii="宋体" w:hAnsi="宋体"/>
          <w:b/>
          <w:color w:val="auto"/>
          <w:highlight w:val="none"/>
        </w:rPr>
      </w:pPr>
      <w:bookmarkStart w:id="567" w:name="_Toc11543"/>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469"/>
      <w:bookmarkEnd w:id="470"/>
      <w:bookmarkEnd w:id="471"/>
      <w:bookmarkEnd w:id="566"/>
      <w:bookmarkEnd w:id="567"/>
    </w:p>
    <w:sectPr>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36E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2268">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- 3 -</w:t>
    </w:r>
    <w:r>
      <w:fldChar w:fldCharType="end"/>
    </w:r>
  </w:p>
  <w:p w14:paraId="0680BC8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983C">
    <w:pPr>
      <w:pStyle w:val="31"/>
      <w:jc w:val="center"/>
    </w:pPr>
    <w:r>
      <w:fldChar w:fldCharType="begin"/>
    </w:r>
    <w:r>
      <w:instrText xml:space="preserve">PAGE   \* MERGEFORMAT</w:instrText>
    </w:r>
    <w:r>
      <w:fldChar w:fldCharType="separate"/>
    </w:r>
    <w:r>
      <w:rPr>
        <w:lang w:val="zh-CN"/>
      </w:rPr>
      <w:t>2</w:t>
    </w:r>
    <w:r>
      <w:fldChar w:fldCharType="end"/>
    </w:r>
  </w:p>
  <w:p w14:paraId="022EE105">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735A">
    <w:pPr>
      <w:pStyle w:val="31"/>
    </w:pPr>
  </w:p>
  <w:p w14:paraId="251F6983">
    <w:pPr>
      <w:pStyle w:val="3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E88B0B">
                          <w:pPr>
                            <w:pStyle w:val="3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01E88B0B">
                    <w:pPr>
                      <w:pStyle w:val="3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043B">
    <w:pPr>
      <w:pStyle w:val="31"/>
      <w:jc w:val="center"/>
    </w:pPr>
    <w:r>
      <w:t xml:space="preserve">- </w:t>
    </w:r>
    <w:r>
      <w:fldChar w:fldCharType="begin"/>
    </w:r>
    <w:r>
      <w:instrText xml:space="preserve"> PAGE </w:instrText>
    </w:r>
    <w:r>
      <w:fldChar w:fldCharType="separate"/>
    </w:r>
    <w:r>
      <w:t>243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7ED5">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69EF"/>
    <w:multiLevelType w:val="singleLevel"/>
    <w:tmpl w:val="AF0F69EF"/>
    <w:lvl w:ilvl="0" w:tentative="0">
      <w:start w:val="7"/>
      <w:numFmt w:val="decimal"/>
      <w:suff w:val="nothing"/>
      <w:lvlText w:val="%1、"/>
      <w:lvlJc w:val="left"/>
    </w:lvl>
  </w:abstractNum>
  <w:abstractNum w:abstractNumId="1">
    <w:nsid w:val="B9A7B87F"/>
    <w:multiLevelType w:val="singleLevel"/>
    <w:tmpl w:val="B9A7B87F"/>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OGM4MTAwMTg3NjFkYTFmMjZhMmEwZWQwM2ZiZTYifQ=="/>
  </w:docVars>
  <w:rsids>
    <w:rsidRoot w:val="00000000"/>
    <w:rsid w:val="00032DC5"/>
    <w:rsid w:val="004D7E24"/>
    <w:rsid w:val="005101CE"/>
    <w:rsid w:val="005D2854"/>
    <w:rsid w:val="00B85CAF"/>
    <w:rsid w:val="00BA3803"/>
    <w:rsid w:val="00C671DB"/>
    <w:rsid w:val="01750EDE"/>
    <w:rsid w:val="01E925F2"/>
    <w:rsid w:val="01F91143"/>
    <w:rsid w:val="020250A8"/>
    <w:rsid w:val="022226F1"/>
    <w:rsid w:val="023C235A"/>
    <w:rsid w:val="0241242E"/>
    <w:rsid w:val="02497534"/>
    <w:rsid w:val="02581525"/>
    <w:rsid w:val="025832D3"/>
    <w:rsid w:val="02804BE3"/>
    <w:rsid w:val="029C3B08"/>
    <w:rsid w:val="02CB3070"/>
    <w:rsid w:val="02DD1A2B"/>
    <w:rsid w:val="03280EF8"/>
    <w:rsid w:val="0348159A"/>
    <w:rsid w:val="03505229"/>
    <w:rsid w:val="03604B36"/>
    <w:rsid w:val="03712D21"/>
    <w:rsid w:val="039E635A"/>
    <w:rsid w:val="03AD472C"/>
    <w:rsid w:val="04082AD7"/>
    <w:rsid w:val="04325AC8"/>
    <w:rsid w:val="043C1EA8"/>
    <w:rsid w:val="05151950"/>
    <w:rsid w:val="0522236A"/>
    <w:rsid w:val="055D6A85"/>
    <w:rsid w:val="057364D8"/>
    <w:rsid w:val="05D14557"/>
    <w:rsid w:val="05D340EA"/>
    <w:rsid w:val="05FE2133"/>
    <w:rsid w:val="05FE7CAD"/>
    <w:rsid w:val="061B4D44"/>
    <w:rsid w:val="069541C7"/>
    <w:rsid w:val="06A44E95"/>
    <w:rsid w:val="06B30E1D"/>
    <w:rsid w:val="07146850"/>
    <w:rsid w:val="07163C30"/>
    <w:rsid w:val="07222102"/>
    <w:rsid w:val="0747316B"/>
    <w:rsid w:val="07487DBA"/>
    <w:rsid w:val="074B228B"/>
    <w:rsid w:val="07634BF4"/>
    <w:rsid w:val="07672E8A"/>
    <w:rsid w:val="0767768E"/>
    <w:rsid w:val="07AB6459"/>
    <w:rsid w:val="080737D2"/>
    <w:rsid w:val="080B547D"/>
    <w:rsid w:val="08274BDD"/>
    <w:rsid w:val="0831084F"/>
    <w:rsid w:val="08C25591"/>
    <w:rsid w:val="08CD594E"/>
    <w:rsid w:val="092D606A"/>
    <w:rsid w:val="09ED536B"/>
    <w:rsid w:val="0A2543E3"/>
    <w:rsid w:val="0A3035BA"/>
    <w:rsid w:val="0A375EC4"/>
    <w:rsid w:val="0A7144F7"/>
    <w:rsid w:val="0A797225"/>
    <w:rsid w:val="0A83110A"/>
    <w:rsid w:val="0A984D5C"/>
    <w:rsid w:val="0AB03C7C"/>
    <w:rsid w:val="0AC97F37"/>
    <w:rsid w:val="0AD33E3F"/>
    <w:rsid w:val="0AE65BC8"/>
    <w:rsid w:val="0B0E42E3"/>
    <w:rsid w:val="0B374AB7"/>
    <w:rsid w:val="0B8A12CF"/>
    <w:rsid w:val="0C293F7E"/>
    <w:rsid w:val="0C2D2A4E"/>
    <w:rsid w:val="0C9674DF"/>
    <w:rsid w:val="0D4D71AD"/>
    <w:rsid w:val="0D865199"/>
    <w:rsid w:val="0DAE5500"/>
    <w:rsid w:val="0DBF06AB"/>
    <w:rsid w:val="0DEA7073"/>
    <w:rsid w:val="0E091442"/>
    <w:rsid w:val="0E3D2AE0"/>
    <w:rsid w:val="0E4017EB"/>
    <w:rsid w:val="0E7616B1"/>
    <w:rsid w:val="0E8813E4"/>
    <w:rsid w:val="0E903981"/>
    <w:rsid w:val="0EA855E3"/>
    <w:rsid w:val="0EE06B2A"/>
    <w:rsid w:val="0F02347C"/>
    <w:rsid w:val="0F0D215C"/>
    <w:rsid w:val="0F2E788D"/>
    <w:rsid w:val="0F3118B1"/>
    <w:rsid w:val="0FB104C7"/>
    <w:rsid w:val="0FE16FFE"/>
    <w:rsid w:val="0FED2443"/>
    <w:rsid w:val="101141D0"/>
    <w:rsid w:val="102C328E"/>
    <w:rsid w:val="10703EDE"/>
    <w:rsid w:val="108160EB"/>
    <w:rsid w:val="108654B0"/>
    <w:rsid w:val="108C5B45"/>
    <w:rsid w:val="109E6278"/>
    <w:rsid w:val="10CC1442"/>
    <w:rsid w:val="112278CE"/>
    <w:rsid w:val="11292A0B"/>
    <w:rsid w:val="11335637"/>
    <w:rsid w:val="114C04A7"/>
    <w:rsid w:val="11747428"/>
    <w:rsid w:val="11B642AD"/>
    <w:rsid w:val="11B76E7E"/>
    <w:rsid w:val="11CE71F6"/>
    <w:rsid w:val="122F69BB"/>
    <w:rsid w:val="127C4DBC"/>
    <w:rsid w:val="12A83E03"/>
    <w:rsid w:val="12F62DC0"/>
    <w:rsid w:val="139D323C"/>
    <w:rsid w:val="13CA799C"/>
    <w:rsid w:val="13CB74DA"/>
    <w:rsid w:val="13E600BD"/>
    <w:rsid w:val="142B25EC"/>
    <w:rsid w:val="146D2C0E"/>
    <w:rsid w:val="14A21959"/>
    <w:rsid w:val="14A51FB8"/>
    <w:rsid w:val="14D64C58"/>
    <w:rsid w:val="14F0383F"/>
    <w:rsid w:val="14FE5F5C"/>
    <w:rsid w:val="155F0AA1"/>
    <w:rsid w:val="158741A4"/>
    <w:rsid w:val="15E129AC"/>
    <w:rsid w:val="15F8488C"/>
    <w:rsid w:val="162E6355"/>
    <w:rsid w:val="1662251B"/>
    <w:rsid w:val="16660FCB"/>
    <w:rsid w:val="166A3BE5"/>
    <w:rsid w:val="169315EF"/>
    <w:rsid w:val="16B43061"/>
    <w:rsid w:val="16F37DA2"/>
    <w:rsid w:val="172508E3"/>
    <w:rsid w:val="17D15BAA"/>
    <w:rsid w:val="1856573C"/>
    <w:rsid w:val="18AD2173"/>
    <w:rsid w:val="18B708FC"/>
    <w:rsid w:val="19124240"/>
    <w:rsid w:val="193D71F3"/>
    <w:rsid w:val="19453BA6"/>
    <w:rsid w:val="195F7294"/>
    <w:rsid w:val="198F3627"/>
    <w:rsid w:val="199450E1"/>
    <w:rsid w:val="19B968F6"/>
    <w:rsid w:val="1A6920CA"/>
    <w:rsid w:val="1AC3082E"/>
    <w:rsid w:val="1AD00105"/>
    <w:rsid w:val="1ADE4866"/>
    <w:rsid w:val="1AE8673C"/>
    <w:rsid w:val="1AF167D8"/>
    <w:rsid w:val="1B5E7755"/>
    <w:rsid w:val="1B694D12"/>
    <w:rsid w:val="1BB27AA1"/>
    <w:rsid w:val="1BF7155D"/>
    <w:rsid w:val="1C0E117B"/>
    <w:rsid w:val="1C5E5533"/>
    <w:rsid w:val="1C67088B"/>
    <w:rsid w:val="1C8A485F"/>
    <w:rsid w:val="1CAC66AA"/>
    <w:rsid w:val="1CD3692F"/>
    <w:rsid w:val="1D383FD6"/>
    <w:rsid w:val="1D9E2B66"/>
    <w:rsid w:val="1DBC69B5"/>
    <w:rsid w:val="1DD711E3"/>
    <w:rsid w:val="1E086BAA"/>
    <w:rsid w:val="1E197963"/>
    <w:rsid w:val="1EB53B30"/>
    <w:rsid w:val="1EDE58F5"/>
    <w:rsid w:val="1F1E7609"/>
    <w:rsid w:val="1F3D0501"/>
    <w:rsid w:val="1F5B449A"/>
    <w:rsid w:val="1F602B3B"/>
    <w:rsid w:val="1F707A57"/>
    <w:rsid w:val="1FCB7383"/>
    <w:rsid w:val="1FD004F5"/>
    <w:rsid w:val="202820DF"/>
    <w:rsid w:val="20515ADA"/>
    <w:rsid w:val="205B4E2B"/>
    <w:rsid w:val="208F4C4A"/>
    <w:rsid w:val="208F4DF7"/>
    <w:rsid w:val="20981226"/>
    <w:rsid w:val="20A83220"/>
    <w:rsid w:val="20E71F9A"/>
    <w:rsid w:val="21046E3A"/>
    <w:rsid w:val="210618F0"/>
    <w:rsid w:val="21270CC2"/>
    <w:rsid w:val="21274A8D"/>
    <w:rsid w:val="21D50045"/>
    <w:rsid w:val="22396826"/>
    <w:rsid w:val="224F6049"/>
    <w:rsid w:val="22821F7B"/>
    <w:rsid w:val="228A7943"/>
    <w:rsid w:val="23503E27"/>
    <w:rsid w:val="23DD36F6"/>
    <w:rsid w:val="23EE3640"/>
    <w:rsid w:val="24266EC9"/>
    <w:rsid w:val="24DB0580"/>
    <w:rsid w:val="251F57E3"/>
    <w:rsid w:val="254479BB"/>
    <w:rsid w:val="255552F4"/>
    <w:rsid w:val="25AC5561"/>
    <w:rsid w:val="25F969F8"/>
    <w:rsid w:val="26124F7C"/>
    <w:rsid w:val="26506010"/>
    <w:rsid w:val="268877A1"/>
    <w:rsid w:val="26936134"/>
    <w:rsid w:val="26D36140"/>
    <w:rsid w:val="27181100"/>
    <w:rsid w:val="275B5C83"/>
    <w:rsid w:val="278E278E"/>
    <w:rsid w:val="27B74E95"/>
    <w:rsid w:val="28344812"/>
    <w:rsid w:val="285A74F6"/>
    <w:rsid w:val="28AF528E"/>
    <w:rsid w:val="28F25887"/>
    <w:rsid w:val="290D71FC"/>
    <w:rsid w:val="29746395"/>
    <w:rsid w:val="29C16846"/>
    <w:rsid w:val="29F23CDD"/>
    <w:rsid w:val="2A30249C"/>
    <w:rsid w:val="2A370F32"/>
    <w:rsid w:val="2A570191"/>
    <w:rsid w:val="2ACA0D3E"/>
    <w:rsid w:val="2ACF1C5D"/>
    <w:rsid w:val="2AE61515"/>
    <w:rsid w:val="2B050B4A"/>
    <w:rsid w:val="2B230073"/>
    <w:rsid w:val="2B356201"/>
    <w:rsid w:val="2B667F60"/>
    <w:rsid w:val="2B712262"/>
    <w:rsid w:val="2B817C7B"/>
    <w:rsid w:val="2BB31DFD"/>
    <w:rsid w:val="2BC31C57"/>
    <w:rsid w:val="2C9E07BF"/>
    <w:rsid w:val="2D4C1B03"/>
    <w:rsid w:val="2D5269EE"/>
    <w:rsid w:val="2D832920"/>
    <w:rsid w:val="2D937732"/>
    <w:rsid w:val="2DCD42C6"/>
    <w:rsid w:val="2DE0049D"/>
    <w:rsid w:val="2E3260C6"/>
    <w:rsid w:val="2E506832"/>
    <w:rsid w:val="2E5D03BB"/>
    <w:rsid w:val="2ED40002"/>
    <w:rsid w:val="2EF05516"/>
    <w:rsid w:val="2F065CE2"/>
    <w:rsid w:val="2F594063"/>
    <w:rsid w:val="30346975"/>
    <w:rsid w:val="30893E07"/>
    <w:rsid w:val="30BF31A0"/>
    <w:rsid w:val="3115220C"/>
    <w:rsid w:val="31295CB7"/>
    <w:rsid w:val="314E47F2"/>
    <w:rsid w:val="31624A09"/>
    <w:rsid w:val="31653D42"/>
    <w:rsid w:val="316600C5"/>
    <w:rsid w:val="31977496"/>
    <w:rsid w:val="31A551E2"/>
    <w:rsid w:val="31CE550A"/>
    <w:rsid w:val="31F12C79"/>
    <w:rsid w:val="31F75DB5"/>
    <w:rsid w:val="32036508"/>
    <w:rsid w:val="32096215"/>
    <w:rsid w:val="32513718"/>
    <w:rsid w:val="3300448E"/>
    <w:rsid w:val="332A25DE"/>
    <w:rsid w:val="334F3707"/>
    <w:rsid w:val="33AF6948"/>
    <w:rsid w:val="342A2472"/>
    <w:rsid w:val="34AC6BCC"/>
    <w:rsid w:val="35020CF9"/>
    <w:rsid w:val="35252B14"/>
    <w:rsid w:val="35A47489"/>
    <w:rsid w:val="36C95F72"/>
    <w:rsid w:val="36FE0C92"/>
    <w:rsid w:val="37105893"/>
    <w:rsid w:val="37270FA6"/>
    <w:rsid w:val="37577894"/>
    <w:rsid w:val="37761D13"/>
    <w:rsid w:val="38040D2A"/>
    <w:rsid w:val="382471D8"/>
    <w:rsid w:val="3881462B"/>
    <w:rsid w:val="38A81BB8"/>
    <w:rsid w:val="39741A71"/>
    <w:rsid w:val="39974C7E"/>
    <w:rsid w:val="3A054308"/>
    <w:rsid w:val="3A125E82"/>
    <w:rsid w:val="3A6C4FEA"/>
    <w:rsid w:val="3AB24F6F"/>
    <w:rsid w:val="3AB94550"/>
    <w:rsid w:val="3B620744"/>
    <w:rsid w:val="3B62768D"/>
    <w:rsid w:val="3BB27261"/>
    <w:rsid w:val="3C461E13"/>
    <w:rsid w:val="3D3912A9"/>
    <w:rsid w:val="3DB8289D"/>
    <w:rsid w:val="3DFA1107"/>
    <w:rsid w:val="3E485474"/>
    <w:rsid w:val="3E7E2E6C"/>
    <w:rsid w:val="3E976956"/>
    <w:rsid w:val="3EC3774B"/>
    <w:rsid w:val="3EC51715"/>
    <w:rsid w:val="3F081602"/>
    <w:rsid w:val="3F1A40AE"/>
    <w:rsid w:val="3F4563B2"/>
    <w:rsid w:val="3F9B2476"/>
    <w:rsid w:val="3FA72611"/>
    <w:rsid w:val="3FC40905"/>
    <w:rsid w:val="3FD404CE"/>
    <w:rsid w:val="3FE931E1"/>
    <w:rsid w:val="3FFC4A76"/>
    <w:rsid w:val="40C1415E"/>
    <w:rsid w:val="40D93256"/>
    <w:rsid w:val="41526B64"/>
    <w:rsid w:val="4169555E"/>
    <w:rsid w:val="417F0B65"/>
    <w:rsid w:val="41AA69A0"/>
    <w:rsid w:val="41B03D78"/>
    <w:rsid w:val="41BF6404"/>
    <w:rsid w:val="42134546"/>
    <w:rsid w:val="4222148F"/>
    <w:rsid w:val="428464EB"/>
    <w:rsid w:val="42A06816"/>
    <w:rsid w:val="42A17BA6"/>
    <w:rsid w:val="42C34E0B"/>
    <w:rsid w:val="436112E1"/>
    <w:rsid w:val="439F6E61"/>
    <w:rsid w:val="43BE2B8A"/>
    <w:rsid w:val="444255B6"/>
    <w:rsid w:val="44A66E7D"/>
    <w:rsid w:val="44D31D31"/>
    <w:rsid w:val="450F2962"/>
    <w:rsid w:val="452B7DF8"/>
    <w:rsid w:val="45462E84"/>
    <w:rsid w:val="45482758"/>
    <w:rsid w:val="45671CBD"/>
    <w:rsid w:val="4599112C"/>
    <w:rsid w:val="46396545"/>
    <w:rsid w:val="46736B3C"/>
    <w:rsid w:val="46873DD0"/>
    <w:rsid w:val="46C16C66"/>
    <w:rsid w:val="46D149CF"/>
    <w:rsid w:val="47845EE5"/>
    <w:rsid w:val="47AF2F63"/>
    <w:rsid w:val="47DD066E"/>
    <w:rsid w:val="47ED3A8B"/>
    <w:rsid w:val="48081624"/>
    <w:rsid w:val="483428BD"/>
    <w:rsid w:val="48896197"/>
    <w:rsid w:val="48C91E02"/>
    <w:rsid w:val="48FC6901"/>
    <w:rsid w:val="48FE1841"/>
    <w:rsid w:val="49025314"/>
    <w:rsid w:val="49144199"/>
    <w:rsid w:val="491A265E"/>
    <w:rsid w:val="4A4C4A99"/>
    <w:rsid w:val="4A826E28"/>
    <w:rsid w:val="4A8561FD"/>
    <w:rsid w:val="4AA414CB"/>
    <w:rsid w:val="4AC97137"/>
    <w:rsid w:val="4B7324DB"/>
    <w:rsid w:val="4B7815D4"/>
    <w:rsid w:val="4B9656D2"/>
    <w:rsid w:val="4B9F6840"/>
    <w:rsid w:val="4BE100EF"/>
    <w:rsid w:val="4C1415E6"/>
    <w:rsid w:val="4C1635B0"/>
    <w:rsid w:val="4C1E4213"/>
    <w:rsid w:val="4C2F2872"/>
    <w:rsid w:val="4C8B1FB6"/>
    <w:rsid w:val="4D16563C"/>
    <w:rsid w:val="4D1D4775"/>
    <w:rsid w:val="4D673998"/>
    <w:rsid w:val="4E165AE9"/>
    <w:rsid w:val="4E1C29D4"/>
    <w:rsid w:val="4E280B54"/>
    <w:rsid w:val="4E37780E"/>
    <w:rsid w:val="4E590582"/>
    <w:rsid w:val="4E91146E"/>
    <w:rsid w:val="4EAC044A"/>
    <w:rsid w:val="4EBD72A6"/>
    <w:rsid w:val="4ED33793"/>
    <w:rsid w:val="4EF47004"/>
    <w:rsid w:val="4F471CD3"/>
    <w:rsid w:val="4F6B7A5F"/>
    <w:rsid w:val="4F79447E"/>
    <w:rsid w:val="4FEE03A0"/>
    <w:rsid w:val="5019366F"/>
    <w:rsid w:val="51051479"/>
    <w:rsid w:val="520D67C1"/>
    <w:rsid w:val="52AA2CA4"/>
    <w:rsid w:val="52D82DE9"/>
    <w:rsid w:val="531D5224"/>
    <w:rsid w:val="53236DB5"/>
    <w:rsid w:val="53394028"/>
    <w:rsid w:val="53460A16"/>
    <w:rsid w:val="53B03160"/>
    <w:rsid w:val="53BB67EB"/>
    <w:rsid w:val="53E50B93"/>
    <w:rsid w:val="54280325"/>
    <w:rsid w:val="5452714F"/>
    <w:rsid w:val="54662BFB"/>
    <w:rsid w:val="54B5148C"/>
    <w:rsid w:val="54CA3B23"/>
    <w:rsid w:val="54CA6E6B"/>
    <w:rsid w:val="55002F4C"/>
    <w:rsid w:val="553A3451"/>
    <w:rsid w:val="55FB55C5"/>
    <w:rsid w:val="560B1ADB"/>
    <w:rsid w:val="561778BD"/>
    <w:rsid w:val="5621502B"/>
    <w:rsid w:val="563F35B6"/>
    <w:rsid w:val="566209E7"/>
    <w:rsid w:val="56843281"/>
    <w:rsid w:val="56CA5A4F"/>
    <w:rsid w:val="56CC3E96"/>
    <w:rsid w:val="57342B3C"/>
    <w:rsid w:val="57672F12"/>
    <w:rsid w:val="57696912"/>
    <w:rsid w:val="57797372"/>
    <w:rsid w:val="57945866"/>
    <w:rsid w:val="57970055"/>
    <w:rsid w:val="57A52A39"/>
    <w:rsid w:val="57B27F05"/>
    <w:rsid w:val="58A50087"/>
    <w:rsid w:val="58B10670"/>
    <w:rsid w:val="58B32426"/>
    <w:rsid w:val="58F20F01"/>
    <w:rsid w:val="590F7D8F"/>
    <w:rsid w:val="59350DEE"/>
    <w:rsid w:val="59952F94"/>
    <w:rsid w:val="59AA358A"/>
    <w:rsid w:val="59B2243E"/>
    <w:rsid w:val="59B53BA0"/>
    <w:rsid w:val="59CD0C94"/>
    <w:rsid w:val="5A56726E"/>
    <w:rsid w:val="5A6E0A5B"/>
    <w:rsid w:val="5AD36B10"/>
    <w:rsid w:val="5ADC3C17"/>
    <w:rsid w:val="5ADC573B"/>
    <w:rsid w:val="5B0B1E06"/>
    <w:rsid w:val="5B24736C"/>
    <w:rsid w:val="5B2A0B2F"/>
    <w:rsid w:val="5C2C64D8"/>
    <w:rsid w:val="5C9D633C"/>
    <w:rsid w:val="5CBA7F88"/>
    <w:rsid w:val="5CC04E72"/>
    <w:rsid w:val="5D291F85"/>
    <w:rsid w:val="5D5F3499"/>
    <w:rsid w:val="5D6514FF"/>
    <w:rsid w:val="5DBE13B2"/>
    <w:rsid w:val="5E2006A3"/>
    <w:rsid w:val="5E3B2A02"/>
    <w:rsid w:val="5E6C0A33"/>
    <w:rsid w:val="5E785A05"/>
    <w:rsid w:val="5EAF1912"/>
    <w:rsid w:val="5EDC3E56"/>
    <w:rsid w:val="5F370970"/>
    <w:rsid w:val="5F5C0E82"/>
    <w:rsid w:val="5F6B37BB"/>
    <w:rsid w:val="5FA40A7B"/>
    <w:rsid w:val="6017124D"/>
    <w:rsid w:val="606036A1"/>
    <w:rsid w:val="608C1C3B"/>
    <w:rsid w:val="60D33FA2"/>
    <w:rsid w:val="61160B5C"/>
    <w:rsid w:val="618D4BBE"/>
    <w:rsid w:val="624F2F20"/>
    <w:rsid w:val="6271733B"/>
    <w:rsid w:val="62B51380"/>
    <w:rsid w:val="62D6719E"/>
    <w:rsid w:val="62E261E5"/>
    <w:rsid w:val="63091321"/>
    <w:rsid w:val="635B76A3"/>
    <w:rsid w:val="63861F03"/>
    <w:rsid w:val="63D00091"/>
    <w:rsid w:val="640169E9"/>
    <w:rsid w:val="64C574CA"/>
    <w:rsid w:val="64DB6CED"/>
    <w:rsid w:val="65150451"/>
    <w:rsid w:val="652F2B95"/>
    <w:rsid w:val="6534707B"/>
    <w:rsid w:val="65647C5B"/>
    <w:rsid w:val="66327BF7"/>
    <w:rsid w:val="66404F36"/>
    <w:rsid w:val="66652D12"/>
    <w:rsid w:val="668D4017"/>
    <w:rsid w:val="6690467C"/>
    <w:rsid w:val="66A446EB"/>
    <w:rsid w:val="66B5531C"/>
    <w:rsid w:val="66EA76BB"/>
    <w:rsid w:val="66F52CC3"/>
    <w:rsid w:val="671764AB"/>
    <w:rsid w:val="672E1BB9"/>
    <w:rsid w:val="68233E92"/>
    <w:rsid w:val="684B396E"/>
    <w:rsid w:val="68752646"/>
    <w:rsid w:val="68A37B22"/>
    <w:rsid w:val="68CD2DF1"/>
    <w:rsid w:val="68F42A0B"/>
    <w:rsid w:val="696A6892"/>
    <w:rsid w:val="69AE756A"/>
    <w:rsid w:val="69C51802"/>
    <w:rsid w:val="6A39281D"/>
    <w:rsid w:val="6A540B5C"/>
    <w:rsid w:val="6AA0366A"/>
    <w:rsid w:val="6AD57716"/>
    <w:rsid w:val="6AFE1987"/>
    <w:rsid w:val="6B234F4A"/>
    <w:rsid w:val="6B306F2E"/>
    <w:rsid w:val="6B3734E3"/>
    <w:rsid w:val="6BE7241B"/>
    <w:rsid w:val="6BF57F88"/>
    <w:rsid w:val="6C066D46"/>
    <w:rsid w:val="6C251FBB"/>
    <w:rsid w:val="6C901341"/>
    <w:rsid w:val="6CAE6A95"/>
    <w:rsid w:val="6CC4275D"/>
    <w:rsid w:val="6CC46483"/>
    <w:rsid w:val="6D2156DC"/>
    <w:rsid w:val="6D372470"/>
    <w:rsid w:val="6D3C6797"/>
    <w:rsid w:val="6D6C1709"/>
    <w:rsid w:val="6DAC0977"/>
    <w:rsid w:val="6DF42BCE"/>
    <w:rsid w:val="6E0252EB"/>
    <w:rsid w:val="6E8300C9"/>
    <w:rsid w:val="6EA2607D"/>
    <w:rsid w:val="6ED317D6"/>
    <w:rsid w:val="6ED529FF"/>
    <w:rsid w:val="6EE80984"/>
    <w:rsid w:val="6EEB3FD1"/>
    <w:rsid w:val="6EFD5AB2"/>
    <w:rsid w:val="6F00293A"/>
    <w:rsid w:val="6F0D49D1"/>
    <w:rsid w:val="6F567312"/>
    <w:rsid w:val="6FBD33FE"/>
    <w:rsid w:val="6FEA24DA"/>
    <w:rsid w:val="7027728A"/>
    <w:rsid w:val="7064228D"/>
    <w:rsid w:val="70AE52B6"/>
    <w:rsid w:val="70EC18B8"/>
    <w:rsid w:val="70EF4BF6"/>
    <w:rsid w:val="711C152C"/>
    <w:rsid w:val="712B4B58"/>
    <w:rsid w:val="716E7626"/>
    <w:rsid w:val="71CD285F"/>
    <w:rsid w:val="7201431A"/>
    <w:rsid w:val="726227FC"/>
    <w:rsid w:val="72A7312D"/>
    <w:rsid w:val="72B01473"/>
    <w:rsid w:val="72CA2A64"/>
    <w:rsid w:val="73565639"/>
    <w:rsid w:val="735A1725"/>
    <w:rsid w:val="73740A39"/>
    <w:rsid w:val="73BC23E0"/>
    <w:rsid w:val="73DB05C0"/>
    <w:rsid w:val="74075FB0"/>
    <w:rsid w:val="741714DE"/>
    <w:rsid w:val="742076B8"/>
    <w:rsid w:val="74293E7E"/>
    <w:rsid w:val="74A06189"/>
    <w:rsid w:val="74A94712"/>
    <w:rsid w:val="74C140FF"/>
    <w:rsid w:val="74C7103C"/>
    <w:rsid w:val="754601B3"/>
    <w:rsid w:val="75634F83"/>
    <w:rsid w:val="75711682"/>
    <w:rsid w:val="757C3BD5"/>
    <w:rsid w:val="75C15A8B"/>
    <w:rsid w:val="75D35CCA"/>
    <w:rsid w:val="760A6969"/>
    <w:rsid w:val="761B33ED"/>
    <w:rsid w:val="76C021E7"/>
    <w:rsid w:val="76CF5F86"/>
    <w:rsid w:val="76D17F50"/>
    <w:rsid w:val="77472041"/>
    <w:rsid w:val="77B43BA0"/>
    <w:rsid w:val="77B92EBE"/>
    <w:rsid w:val="77DC2970"/>
    <w:rsid w:val="781F4CEB"/>
    <w:rsid w:val="787212BF"/>
    <w:rsid w:val="78764DC8"/>
    <w:rsid w:val="787C30B9"/>
    <w:rsid w:val="78BB0DBC"/>
    <w:rsid w:val="790C1713"/>
    <w:rsid w:val="7972247C"/>
    <w:rsid w:val="79B419D7"/>
    <w:rsid w:val="79D25064"/>
    <w:rsid w:val="7A3B22B0"/>
    <w:rsid w:val="7A4160FC"/>
    <w:rsid w:val="7AA80CC3"/>
    <w:rsid w:val="7AFE0EDA"/>
    <w:rsid w:val="7BE349AD"/>
    <w:rsid w:val="7C016BE2"/>
    <w:rsid w:val="7C707B9F"/>
    <w:rsid w:val="7C8141C6"/>
    <w:rsid w:val="7C9C3264"/>
    <w:rsid w:val="7CA875CE"/>
    <w:rsid w:val="7D07647A"/>
    <w:rsid w:val="7D141D22"/>
    <w:rsid w:val="7D44147C"/>
    <w:rsid w:val="7D4551F4"/>
    <w:rsid w:val="7DC4436B"/>
    <w:rsid w:val="7DE67CC9"/>
    <w:rsid w:val="7E025C62"/>
    <w:rsid w:val="7E6950CA"/>
    <w:rsid w:val="7E8D0C00"/>
    <w:rsid w:val="7E9E696A"/>
    <w:rsid w:val="7F0569E9"/>
    <w:rsid w:val="7F0D1D41"/>
    <w:rsid w:val="7F2D5F40"/>
    <w:rsid w:val="7F4A6215"/>
    <w:rsid w:val="7F6D77C7"/>
    <w:rsid w:val="7F833DB1"/>
    <w:rsid w:val="7FB94EC7"/>
    <w:rsid w:val="7FC22B2C"/>
    <w:rsid w:val="7FDD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6"/>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95"/>
    <w:qFormat/>
    <w:uiPriority w:val="0"/>
    <w:pPr>
      <w:keepNext/>
      <w:keepLines/>
      <w:spacing w:before="260" w:after="260" w:line="416" w:lineRule="auto"/>
      <w:outlineLvl w:val="2"/>
    </w:pPr>
    <w:rPr>
      <w:b/>
      <w:bCs/>
      <w:sz w:val="32"/>
      <w:szCs w:val="32"/>
    </w:rPr>
  </w:style>
  <w:style w:type="paragraph" w:styleId="7">
    <w:name w:val="heading 4"/>
    <w:basedOn w:val="1"/>
    <w:next w:val="1"/>
    <w:link w:val="181"/>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9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97"/>
    <w:qFormat/>
    <w:uiPriority w:val="0"/>
    <w:pPr>
      <w:keepNext/>
      <w:keepLines/>
      <w:ind w:firstLine="200" w:firstLineChars="200"/>
      <w:outlineLvl w:val="5"/>
    </w:pPr>
    <w:rPr>
      <w:rFonts w:hAnsi="Arial"/>
    </w:rPr>
  </w:style>
  <w:style w:type="paragraph" w:styleId="11">
    <w:name w:val="heading 7"/>
    <w:basedOn w:val="1"/>
    <w:next w:val="1"/>
    <w:link w:val="27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6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0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qFormat/>
    <w:uiPriority w:val="1"/>
  </w:style>
  <w:style w:type="table" w:default="1" w:styleId="47">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1"/>
    <w:link w:val="271"/>
    <w:qFormat/>
    <w:uiPriority w:val="0"/>
    <w:pPr>
      <w:ind w:firstLine="407" w:firstLineChars="20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99"/>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206"/>
    <w:qFormat/>
    <w:uiPriority w:val="0"/>
    <w:pPr>
      <w:shd w:val="clear" w:color="auto" w:fill="000080"/>
    </w:pPr>
  </w:style>
  <w:style w:type="paragraph" w:styleId="18">
    <w:name w:val="annotation text"/>
    <w:basedOn w:val="1"/>
    <w:link w:val="291"/>
    <w:qFormat/>
    <w:uiPriority w:val="99"/>
    <w:pPr>
      <w:jc w:val="left"/>
    </w:pPr>
  </w:style>
  <w:style w:type="paragraph" w:styleId="19">
    <w:name w:val="Body Text 3"/>
    <w:basedOn w:val="1"/>
    <w:link w:val="310"/>
    <w:qFormat/>
    <w:uiPriority w:val="0"/>
    <w:pPr>
      <w:spacing w:after="120"/>
    </w:pPr>
    <w:rPr>
      <w:sz w:val="16"/>
      <w:szCs w:val="16"/>
    </w:rPr>
  </w:style>
  <w:style w:type="paragraph" w:styleId="20">
    <w:name w:val="Body Text"/>
    <w:basedOn w:val="1"/>
    <w:next w:val="1"/>
    <w:link w:val="216"/>
    <w:qFormat/>
    <w:uiPriority w:val="0"/>
    <w:pPr>
      <w:spacing w:after="12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5">
    <w:name w:val="Plain Text"/>
    <w:basedOn w:val="1"/>
    <w:link w:val="306"/>
    <w:qFormat/>
    <w:uiPriority w:val="0"/>
    <w:rPr>
      <w:rFonts w:ascii="宋体" w:hAnsi="Courier New" w:cs="Courier New"/>
      <w:szCs w:val="21"/>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159"/>
    <w:qFormat/>
    <w:uiPriority w:val="0"/>
    <w:pPr>
      <w:ind w:left="100" w:leftChars="2500"/>
    </w:pPr>
  </w:style>
  <w:style w:type="paragraph" w:styleId="28">
    <w:name w:val="Body Text Indent 2"/>
    <w:basedOn w:val="1"/>
    <w:link w:val="273"/>
    <w:qFormat/>
    <w:uiPriority w:val="0"/>
    <w:pPr>
      <w:widowControl/>
      <w:spacing w:line="480" w:lineRule="auto"/>
      <w:ind w:firstLine="560"/>
      <w:jc w:val="left"/>
    </w:pPr>
    <w:rPr>
      <w:kern w:val="0"/>
      <w:sz w:val="28"/>
    </w:rPr>
  </w:style>
  <w:style w:type="paragraph" w:styleId="29">
    <w:name w:val="endnote text"/>
    <w:basedOn w:val="1"/>
    <w:link w:val="183"/>
    <w:qFormat/>
    <w:uiPriority w:val="0"/>
    <w:pPr>
      <w:widowControl/>
      <w:snapToGrid w:val="0"/>
      <w:jc w:val="left"/>
    </w:pPr>
    <w:rPr>
      <w:rFonts w:ascii="Arial" w:hAnsi="Arial" w:cs="Arial"/>
      <w:kern w:val="0"/>
      <w:sz w:val="20"/>
      <w:lang w:eastAsia="en-US"/>
    </w:rPr>
  </w:style>
  <w:style w:type="paragraph" w:styleId="30">
    <w:name w:val="Balloon Text"/>
    <w:basedOn w:val="1"/>
    <w:link w:val="210"/>
    <w:qFormat/>
    <w:uiPriority w:val="0"/>
    <w:rPr>
      <w:sz w:val="18"/>
      <w:szCs w:val="18"/>
    </w:rPr>
  </w:style>
  <w:style w:type="paragraph" w:styleId="31">
    <w:name w:val="footer"/>
    <w:basedOn w:val="1"/>
    <w:link w:val="198"/>
    <w:qFormat/>
    <w:uiPriority w:val="0"/>
    <w:pPr>
      <w:tabs>
        <w:tab w:val="center" w:pos="4153"/>
        <w:tab w:val="right" w:pos="8306"/>
      </w:tabs>
      <w:snapToGrid w:val="0"/>
      <w:jc w:val="left"/>
    </w:pPr>
    <w:rPr>
      <w:sz w:val="18"/>
      <w:szCs w:val="18"/>
    </w:rPr>
  </w:style>
  <w:style w:type="paragraph" w:styleId="32">
    <w:name w:val="header"/>
    <w:basedOn w:val="1"/>
    <w:link w:val="23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4"/>
    <w:next w:val="1"/>
    <w:qFormat/>
    <w:uiPriority w:val="39"/>
    <w:pPr>
      <w:keepNext w:val="0"/>
      <w:keepLines w:val="0"/>
      <w:spacing w:before="120" w:after="120" w:line="240" w:lineRule="auto"/>
      <w:jc w:val="left"/>
      <w:outlineLvl w:val="9"/>
    </w:pPr>
    <w:rPr>
      <w:caps/>
      <w:kern w:val="2"/>
      <w:sz w:val="20"/>
      <w:szCs w:val="20"/>
    </w:rPr>
  </w:style>
  <w:style w:type="paragraph" w:styleId="34">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303"/>
    <w:qFormat/>
    <w:uiPriority w:val="0"/>
    <w:pPr>
      <w:widowControl/>
      <w:jc w:val="center"/>
    </w:pPr>
    <w:rPr>
      <w:kern w:val="0"/>
      <w:sz w:val="20"/>
      <w:u w:val="single"/>
      <w:lang w:eastAsia="en-US"/>
    </w:rPr>
  </w:style>
  <w:style w:type="paragraph" w:styleId="36">
    <w:name w:val="footnote text"/>
    <w:basedOn w:val="1"/>
    <w:link w:val="218"/>
    <w:qFormat/>
    <w:uiPriority w:val="0"/>
    <w:pPr>
      <w:widowControl/>
      <w:snapToGrid w:val="0"/>
      <w:jc w:val="left"/>
    </w:pPr>
    <w:rPr>
      <w:rFonts w:ascii="Arial" w:hAnsi="Arial" w:cs="Arial"/>
      <w:kern w:val="0"/>
      <w:sz w:val="18"/>
      <w:szCs w:val="18"/>
      <w:lang w:eastAsia="en-US"/>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270"/>
    <w:qFormat/>
    <w:uiPriority w:val="0"/>
    <w:pPr>
      <w:spacing w:line="360" w:lineRule="auto"/>
      <w:ind w:firstLine="280" w:firstLineChars="100"/>
    </w:pPr>
    <w:rPr>
      <w:rFonts w:ascii="宋体" w:hAnsi="宋体"/>
      <w:sz w:val="28"/>
      <w:szCs w:val="28"/>
    </w:rPr>
  </w:style>
  <w:style w:type="paragraph" w:styleId="39">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266"/>
    <w:qFormat/>
    <w:uiPriority w:val="0"/>
    <w:rPr>
      <w:i/>
      <w:iCs/>
      <w:sz w:val="26"/>
    </w:rPr>
  </w:style>
  <w:style w:type="paragraph" w:styleId="42">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213"/>
    <w:qFormat/>
    <w:uiPriority w:val="0"/>
    <w:pPr>
      <w:widowControl/>
      <w:jc w:val="center"/>
    </w:pPr>
    <w:rPr>
      <w:kern w:val="0"/>
      <w:sz w:val="20"/>
      <w:u w:val="single"/>
      <w:lang w:eastAsia="en-US"/>
    </w:rPr>
  </w:style>
  <w:style w:type="paragraph" w:styleId="46">
    <w:name w:val="annotation subject"/>
    <w:basedOn w:val="18"/>
    <w:next w:val="18"/>
    <w:link w:val="265"/>
    <w:qFormat/>
    <w:uiPriority w:val="0"/>
    <w:rPr>
      <w:b/>
      <w:bCs/>
    </w:r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59">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0">
    <w:name w:val="_Style 101"/>
    <w:basedOn w:val="1"/>
    <w:qFormat/>
    <w:uiPriority w:val="99"/>
    <w:pPr>
      <w:ind w:firstLine="420" w:firstLineChars="200"/>
    </w:pPr>
    <w:rPr>
      <w:sz w:val="28"/>
      <w:szCs w:val="28"/>
    </w:rPr>
  </w:style>
  <w:style w:type="paragraph" w:customStyle="1" w:styleId="61">
    <w:name w:val="表格标题"/>
    <w:basedOn w:val="62"/>
    <w:qFormat/>
    <w:uiPriority w:val="0"/>
  </w:style>
  <w:style w:type="paragraph" w:customStyle="1" w:styleId="62">
    <w:name w:val="表格内容"/>
    <w:basedOn w:val="1"/>
    <w:qFormat/>
    <w:uiPriority w:val="0"/>
    <w:pPr>
      <w:suppressLineNumbers/>
      <w:suppressAutoHyphens/>
    </w:pPr>
  </w:style>
  <w:style w:type="paragraph" w:customStyle="1" w:styleId="6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4">
    <w:name w:val="修订1"/>
    <w:qFormat/>
    <w:uiPriority w:val="0"/>
    <w:rPr>
      <w:rFonts w:ascii="Times New Roman" w:hAnsi="Times New Roman" w:eastAsia="宋体" w:cs="Times New Roman"/>
      <w:kern w:val="2"/>
      <w:sz w:val="21"/>
      <w:szCs w:val="24"/>
      <w:lang w:val="en-US" w:eastAsia="zh-CN" w:bidi="ar-SA"/>
    </w:rPr>
  </w:style>
  <w:style w:type="paragraph" w:customStyle="1" w:styleId="65">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6">
    <w:name w:val="标准样式1"/>
    <w:basedOn w:val="1"/>
    <w:qFormat/>
    <w:uiPriority w:val="0"/>
    <w:pPr>
      <w:spacing w:line="600" w:lineRule="exact"/>
      <w:ind w:firstLine="567"/>
    </w:pPr>
    <w:rPr>
      <w:rFonts w:ascii="Calibri" w:hAnsi="Calibri"/>
      <w:sz w:val="28"/>
    </w:rPr>
  </w:style>
  <w:style w:type="paragraph" w:customStyle="1" w:styleId="67">
    <w:name w:val="列出段落11"/>
    <w:basedOn w:val="1"/>
    <w:qFormat/>
    <w:uiPriority w:val="0"/>
    <w:pPr>
      <w:ind w:firstLine="420" w:firstLineChars="200"/>
    </w:pPr>
    <w:rPr>
      <w:sz w:val="28"/>
      <w:szCs w:val="28"/>
    </w:rPr>
  </w:style>
  <w:style w:type="paragraph" w:customStyle="1" w:styleId="6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9">
    <w:name w:val="WW-表格标题"/>
    <w:basedOn w:val="70"/>
    <w:qFormat/>
    <w:uiPriority w:val="0"/>
  </w:style>
  <w:style w:type="paragraph" w:customStyle="1" w:styleId="70">
    <w:name w:val="WW-表格内容"/>
    <w:basedOn w:val="1"/>
    <w:qFormat/>
    <w:uiPriority w:val="0"/>
    <w:pPr>
      <w:suppressLineNumbers/>
      <w:suppressAutoHyphens/>
    </w:pPr>
  </w:style>
  <w:style w:type="paragraph" w:customStyle="1" w:styleId="71">
    <w:name w:val="引用2"/>
    <w:basedOn w:val="1"/>
    <w:next w:val="1"/>
    <w:link w:val="302"/>
    <w:qFormat/>
    <w:uiPriority w:val="0"/>
    <w:rPr>
      <w:i/>
      <w:iCs/>
      <w:color w:val="000000"/>
    </w:rPr>
  </w:style>
  <w:style w:type="paragraph" w:customStyle="1" w:styleId="72">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Char Char Char Char"/>
    <w:basedOn w:val="17"/>
    <w:qFormat/>
    <w:uiPriority w:val="0"/>
    <w:pPr>
      <w:spacing w:line="360" w:lineRule="auto"/>
      <w:ind w:firstLine="200" w:firstLineChars="200"/>
    </w:pPr>
    <w:rPr>
      <w:rFonts w:ascii="Tahoma" w:hAnsi="Tahoma"/>
      <w:sz w:val="24"/>
    </w:rPr>
  </w:style>
  <w:style w:type="paragraph" w:customStyle="1" w:styleId="7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7">
    <w:name w:val="p16"/>
    <w:basedOn w:val="1"/>
    <w:qFormat/>
    <w:uiPriority w:val="0"/>
    <w:pPr>
      <w:widowControl/>
    </w:pPr>
    <w:rPr>
      <w:rFonts w:ascii="Calibri" w:hAnsi="Calibri" w:cs="宋体"/>
      <w:kern w:val="0"/>
      <w:szCs w:val="21"/>
    </w:rPr>
  </w:style>
  <w:style w:type="paragraph" w:customStyle="1" w:styleId="78">
    <w:name w:val="列出段落1"/>
    <w:basedOn w:val="1"/>
    <w:qFormat/>
    <w:uiPriority w:val="0"/>
    <w:pPr>
      <w:ind w:firstLine="420" w:firstLineChars="200"/>
    </w:pPr>
    <w:rPr>
      <w:sz w:val="28"/>
      <w:szCs w:val="28"/>
    </w:rPr>
  </w:style>
  <w:style w:type="paragraph" w:customStyle="1" w:styleId="79">
    <w:name w:val="样式1"/>
    <w:basedOn w:val="1"/>
    <w:next w:val="7"/>
    <w:qFormat/>
    <w:uiPriority w:val="0"/>
    <w:pPr>
      <w:spacing w:line="360" w:lineRule="auto"/>
      <w:ind w:firstLine="420" w:firstLineChars="200"/>
    </w:pPr>
    <w:rPr>
      <w:rFonts w:ascii="宋体" w:hAnsi="宋体"/>
      <w:szCs w:val="21"/>
    </w:rPr>
  </w:style>
  <w:style w:type="paragraph" w:customStyle="1" w:styleId="8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1">
    <w:name w:val="Char9 Char Char Char Char Char Char"/>
    <w:basedOn w:val="17"/>
    <w:qFormat/>
    <w:uiPriority w:val="0"/>
    <w:pPr>
      <w:spacing w:line="360" w:lineRule="auto"/>
      <w:ind w:firstLine="200" w:firstLineChars="200"/>
    </w:pPr>
    <w:rPr>
      <w:rFonts w:ascii="Tahoma" w:hAnsi="Tahoma"/>
      <w:sz w:val="24"/>
    </w:rPr>
  </w:style>
  <w:style w:type="paragraph" w:customStyle="1" w:styleId="8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3">
    <w:name w:val="引用1"/>
    <w:basedOn w:val="1"/>
    <w:next w:val="1"/>
    <w:link w:val="152"/>
    <w:qFormat/>
    <w:uiPriority w:val="29"/>
    <w:rPr>
      <w:i/>
      <w:iCs/>
      <w:color w:val="000000"/>
      <w:szCs w:val="20"/>
    </w:rPr>
  </w:style>
  <w:style w:type="paragraph" w:customStyle="1" w:styleId="84">
    <w:name w:val="表格文字"/>
    <w:basedOn w:val="1"/>
    <w:qFormat/>
    <w:uiPriority w:val="0"/>
    <w:pPr>
      <w:adjustRightInd w:val="0"/>
      <w:spacing w:line="420" w:lineRule="atLeast"/>
      <w:jc w:val="left"/>
      <w:textAlignment w:val="baseline"/>
    </w:pPr>
    <w:rPr>
      <w:kern w:val="0"/>
      <w:szCs w:val="20"/>
    </w:rPr>
  </w:style>
  <w:style w:type="paragraph" w:customStyle="1" w:styleId="85">
    <w:name w:val="_Style 96"/>
    <w:qFormat/>
    <w:uiPriority w:val="99"/>
    <w:rPr>
      <w:rFonts w:ascii="Calibri" w:hAnsi="Calibri" w:eastAsia="宋体" w:cs="Times New Roman"/>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7">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正  文"/>
    <w:basedOn w:val="1"/>
    <w:qFormat/>
    <w:uiPriority w:val="0"/>
    <w:pPr>
      <w:spacing w:line="360" w:lineRule="auto"/>
      <w:ind w:firstLine="200" w:firstLineChars="200"/>
    </w:pPr>
    <w:rPr>
      <w:rFonts w:ascii="宋体" w:hAnsi="Calibri"/>
      <w:sz w:val="24"/>
    </w:rPr>
  </w:style>
  <w:style w:type="paragraph" w:customStyle="1" w:styleId="89">
    <w:name w:val="标题4"/>
    <w:basedOn w:val="5"/>
    <w:next w:val="22"/>
    <w:link w:val="245"/>
    <w:qFormat/>
    <w:uiPriority w:val="0"/>
    <w:pPr>
      <w:spacing w:line="413" w:lineRule="auto"/>
    </w:pPr>
    <w:rPr>
      <w:rFonts w:ascii="Arial" w:hAnsi="Arial"/>
      <w:kern w:val="0"/>
      <w:sz w:val="24"/>
    </w:rPr>
  </w:style>
  <w:style w:type="paragraph" w:customStyle="1" w:styleId="90">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4">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7">
    <w:name w:val="1 Char"/>
    <w:basedOn w:val="1"/>
    <w:qFormat/>
    <w:uiPriority w:val="0"/>
    <w:pPr>
      <w:widowControl/>
      <w:spacing w:after="160" w:line="240" w:lineRule="exact"/>
      <w:jc w:val="left"/>
    </w:pPr>
    <w:rPr>
      <w:rFonts w:ascii="Calibri" w:hAnsi="Calibri"/>
      <w:szCs w:val="20"/>
    </w:rPr>
  </w:style>
  <w:style w:type="paragraph" w:customStyle="1" w:styleId="9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9">
    <w:name w:val="pa-34"/>
    <w:basedOn w:val="1"/>
    <w:qFormat/>
    <w:uiPriority w:val="0"/>
    <w:pPr>
      <w:widowControl/>
      <w:spacing w:line="360" w:lineRule="atLeast"/>
      <w:ind w:firstLine="420"/>
      <w:jc w:val="left"/>
    </w:pPr>
    <w:rPr>
      <w:rFonts w:ascii="宋体" w:hAnsi="宋体" w:cs="宋体"/>
      <w:kern w:val="0"/>
      <w:sz w:val="24"/>
    </w:rPr>
  </w:style>
  <w:style w:type="paragraph" w:customStyle="1" w:styleId="100">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1">
    <w:name w:val="p15"/>
    <w:basedOn w:val="1"/>
    <w:qFormat/>
    <w:uiPriority w:val="0"/>
    <w:pPr>
      <w:widowControl/>
      <w:spacing w:after="120"/>
    </w:pPr>
    <w:rPr>
      <w:kern w:val="0"/>
      <w:szCs w:val="21"/>
    </w:rPr>
  </w:style>
  <w:style w:type="paragraph" w:customStyle="1" w:styleId="10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4">
    <w:name w:val="_Style 124"/>
    <w:basedOn w:val="1"/>
    <w:next w:val="1"/>
    <w:link w:val="199"/>
    <w:qFormat/>
    <w:uiPriority w:val="0"/>
    <w:rPr>
      <w:i/>
      <w:iCs/>
      <w:color w:val="000000"/>
      <w:szCs w:val="22"/>
    </w:rPr>
  </w:style>
  <w:style w:type="paragraph" w:customStyle="1" w:styleId="10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7">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8">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109">
    <w:name w:val="pa-27"/>
    <w:basedOn w:val="1"/>
    <w:qFormat/>
    <w:uiPriority w:val="0"/>
    <w:pPr>
      <w:widowControl/>
      <w:spacing w:line="360" w:lineRule="atLeast"/>
      <w:ind w:firstLine="420"/>
    </w:pPr>
    <w:rPr>
      <w:rFonts w:ascii="宋体" w:hAnsi="宋体" w:cs="宋体"/>
      <w:kern w:val="0"/>
      <w:sz w:val="24"/>
    </w:rPr>
  </w:style>
  <w:style w:type="paragraph" w:customStyle="1" w:styleId="11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明显引用1"/>
    <w:basedOn w:val="1"/>
    <w:next w:val="1"/>
    <w:link w:val="300"/>
    <w:qFormat/>
    <w:uiPriority w:val="30"/>
    <w:pPr>
      <w:pBdr>
        <w:bottom w:val="single" w:color="4F81BD" w:sz="4" w:space="4"/>
      </w:pBdr>
      <w:spacing w:before="200" w:after="280"/>
      <w:ind w:left="936" w:right="936"/>
    </w:pPr>
    <w:rPr>
      <w:b/>
      <w:bCs/>
      <w:i/>
      <w:iCs/>
      <w:color w:val="4F81BD"/>
      <w:szCs w:val="20"/>
    </w:rPr>
  </w:style>
  <w:style w:type="paragraph" w:customStyle="1" w:styleId="114">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5">
    <w:name w:val="TOC 标题2"/>
    <w:basedOn w:val="4"/>
    <w:next w:val="1"/>
    <w:qFormat/>
    <w:uiPriority w:val="0"/>
    <w:pPr>
      <w:outlineLvl w:val="9"/>
    </w:pPr>
    <w:rPr>
      <w:rFonts w:ascii="Calibri" w:hAnsi="Calibri"/>
    </w:rPr>
  </w:style>
  <w:style w:type="paragraph" w:customStyle="1" w:styleId="11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1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标题5"/>
    <w:basedOn w:val="6"/>
    <w:link w:val="167"/>
    <w:qFormat/>
    <w:uiPriority w:val="0"/>
    <w:pPr>
      <w:spacing w:line="413" w:lineRule="auto"/>
    </w:pPr>
    <w:rPr>
      <w:rFonts w:ascii="Arial" w:hAnsi="Arial"/>
      <w:kern w:val="0"/>
      <w:sz w:val="24"/>
    </w:rPr>
  </w:style>
  <w:style w:type="paragraph" w:customStyle="1" w:styleId="11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20">
    <w:name w:val="_Style 64"/>
    <w:basedOn w:val="1"/>
    <w:next w:val="1"/>
    <w:link w:val="299"/>
    <w:qFormat/>
    <w:uiPriority w:val="0"/>
    <w:pPr>
      <w:pBdr>
        <w:bottom w:val="single" w:color="4F81BD" w:sz="4" w:space="4"/>
      </w:pBdr>
      <w:spacing w:before="200" w:after="280"/>
      <w:ind w:left="936" w:right="936"/>
    </w:pPr>
    <w:rPr>
      <w:b/>
      <w:bCs/>
      <w:i/>
      <w:iCs/>
      <w:color w:val="4F81BD"/>
      <w:szCs w:val="22"/>
    </w:rPr>
  </w:style>
  <w:style w:type="paragraph" w:customStyle="1" w:styleId="121">
    <w:name w:val="_Style 128"/>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Char2"/>
    <w:basedOn w:val="1"/>
    <w:qFormat/>
    <w:uiPriority w:val="0"/>
    <w:rPr>
      <w:rFonts w:ascii="Calibri" w:hAnsi="Calibri"/>
    </w:rPr>
  </w:style>
  <w:style w:type="paragraph" w:customStyle="1" w:styleId="123">
    <w:name w:val="_Style 87"/>
    <w:basedOn w:val="1"/>
    <w:qFormat/>
    <w:uiPriority w:val="99"/>
    <w:pPr>
      <w:ind w:firstLine="420" w:firstLineChars="200"/>
    </w:pPr>
    <w:rPr>
      <w:rFonts w:ascii="Calibri" w:hAnsi="Calibri"/>
      <w:sz w:val="28"/>
      <w:szCs w:val="28"/>
    </w:rPr>
  </w:style>
  <w:style w:type="paragraph" w:customStyle="1" w:styleId="124">
    <w:name w:val="自定样式1"/>
    <w:basedOn w:val="1"/>
    <w:qFormat/>
    <w:uiPriority w:val="0"/>
    <w:pPr>
      <w:suppressAutoHyphens/>
      <w:jc w:val="center"/>
    </w:pPr>
    <w:rPr>
      <w:rFonts w:ascii="宋体" w:hAnsi="宋体"/>
      <w:color w:val="000000"/>
      <w:sz w:val="18"/>
    </w:rPr>
  </w:style>
  <w:style w:type="paragraph" w:customStyle="1" w:styleId="125">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Char"/>
    <w:basedOn w:val="1"/>
    <w:qFormat/>
    <w:uiPriority w:val="0"/>
  </w:style>
  <w:style w:type="paragraph" w:customStyle="1" w:styleId="127">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列表段落1"/>
    <w:basedOn w:val="1"/>
    <w:qFormat/>
    <w:uiPriority w:val="34"/>
    <w:pPr>
      <w:ind w:firstLine="420" w:firstLineChars="200"/>
    </w:pPr>
    <w:rPr>
      <w:rFonts w:ascii="Calibri" w:hAnsi="Calibri"/>
    </w:rPr>
  </w:style>
  <w:style w:type="paragraph" w:customStyle="1" w:styleId="12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表体"/>
    <w:basedOn w:val="1"/>
    <w:next w:val="1"/>
    <w:qFormat/>
    <w:uiPriority w:val="0"/>
    <w:pPr>
      <w:spacing w:line="0" w:lineRule="atLeast"/>
    </w:pPr>
    <w:rPr>
      <w:rFonts w:ascii="Calibri" w:hAnsi="Calibri"/>
      <w:b/>
      <w:snapToGrid w:val="0"/>
      <w:szCs w:val="20"/>
    </w:rPr>
  </w:style>
  <w:style w:type="paragraph" w:customStyle="1" w:styleId="131">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2">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3">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4">
    <w:name w:val="Char11"/>
    <w:basedOn w:val="1"/>
    <w:qFormat/>
    <w:uiPriority w:val="0"/>
  </w:style>
  <w:style w:type="paragraph" w:customStyle="1" w:styleId="13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6">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37">
    <w:name w:val="_Style 86"/>
    <w:qFormat/>
    <w:uiPriority w:val="0"/>
    <w:rPr>
      <w:rFonts w:ascii="Times New Roman" w:hAnsi="Times New Roman" w:eastAsia="宋体" w:cs="Times New Roman"/>
      <w:kern w:val="2"/>
      <w:sz w:val="21"/>
      <w:szCs w:val="24"/>
      <w:lang w:val="en-US" w:eastAsia="zh-CN" w:bidi="ar-SA"/>
    </w:rPr>
  </w:style>
  <w:style w:type="paragraph" w:customStyle="1" w:styleId="138">
    <w:name w:val="Char1"/>
    <w:basedOn w:val="1"/>
    <w:qFormat/>
    <w:uiPriority w:val="0"/>
  </w:style>
  <w:style w:type="paragraph" w:customStyle="1" w:styleId="139">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0">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4">
    <w:name w:val="正文文本 Char2"/>
    <w:qFormat/>
    <w:uiPriority w:val="99"/>
    <w:rPr>
      <w:kern w:val="2"/>
      <w:sz w:val="21"/>
      <w:szCs w:val="24"/>
    </w:rPr>
  </w:style>
  <w:style w:type="character" w:customStyle="1" w:styleId="145">
    <w:name w:val="尾注文本 Char1"/>
    <w:qFormat/>
    <w:uiPriority w:val="0"/>
    <w:rPr>
      <w:rFonts w:ascii="Arial" w:hAnsi="Arial" w:cs="Arial"/>
      <w:szCs w:val="24"/>
      <w:lang w:eastAsia="en-US"/>
    </w:rPr>
  </w:style>
  <w:style w:type="character" w:customStyle="1" w:styleId="146">
    <w:name w:val="脚注文本 Char"/>
    <w:qFormat/>
    <w:uiPriority w:val="0"/>
    <w:rPr>
      <w:rFonts w:ascii="Arial" w:hAnsi="Arial" w:eastAsia="宋体" w:cs="Arial"/>
      <w:sz w:val="18"/>
      <w:szCs w:val="18"/>
      <w:lang w:eastAsia="en-US"/>
    </w:rPr>
  </w:style>
  <w:style w:type="character" w:customStyle="1" w:styleId="147">
    <w:name w:val="Char Char17"/>
    <w:qFormat/>
    <w:uiPriority w:val="0"/>
    <w:rPr>
      <w:kern w:val="2"/>
      <w:sz w:val="26"/>
      <w:szCs w:val="24"/>
    </w:rPr>
  </w:style>
  <w:style w:type="character" w:customStyle="1" w:styleId="148">
    <w:name w:val="副标题 Char1"/>
    <w:qFormat/>
    <w:uiPriority w:val="0"/>
    <w:rPr>
      <w:szCs w:val="24"/>
      <w:u w:val="single"/>
      <w:lang w:eastAsia="en-US"/>
    </w:rPr>
  </w:style>
  <w:style w:type="character" w:customStyle="1" w:styleId="149">
    <w:name w:val="标题 Char1"/>
    <w:qFormat/>
    <w:uiPriority w:val="10"/>
    <w:rPr>
      <w:szCs w:val="24"/>
      <w:u w:val="single"/>
      <w:lang w:eastAsia="en-US"/>
    </w:rPr>
  </w:style>
  <w:style w:type="character" w:customStyle="1" w:styleId="150">
    <w:name w:val="Char Char24"/>
    <w:qFormat/>
    <w:uiPriority w:val="0"/>
    <w:rPr>
      <w:b/>
      <w:bCs/>
      <w:kern w:val="44"/>
      <w:sz w:val="44"/>
      <w:szCs w:val="44"/>
    </w:rPr>
  </w:style>
  <w:style w:type="character" w:customStyle="1" w:styleId="151">
    <w:name w:val="批注主题 Char"/>
    <w:qFormat/>
    <w:uiPriority w:val="0"/>
    <w:rPr>
      <w:rFonts w:ascii="宋体" w:hAnsi="宋体" w:eastAsia="宋体"/>
      <w:kern w:val="2"/>
      <w:sz w:val="24"/>
      <w:szCs w:val="28"/>
      <w:lang w:val="en-US" w:eastAsia="zh-CN" w:bidi="ar-SA"/>
    </w:rPr>
  </w:style>
  <w:style w:type="character" w:customStyle="1" w:styleId="152">
    <w:name w:val="引用 Char1"/>
    <w:link w:val="83"/>
    <w:qFormat/>
    <w:uiPriority w:val="29"/>
    <w:rPr>
      <w:i/>
      <w:iCs/>
      <w:color w:val="000000"/>
      <w:kern w:val="2"/>
      <w:sz w:val="21"/>
    </w:rPr>
  </w:style>
  <w:style w:type="character" w:customStyle="1" w:styleId="153">
    <w:name w:val="Char Char23"/>
    <w:qFormat/>
    <w:uiPriority w:val="0"/>
    <w:rPr>
      <w:rFonts w:ascii="Cambria" w:hAnsi="Cambria" w:eastAsia="宋体" w:cs="Times New Roman"/>
      <w:b/>
      <w:bCs/>
      <w:kern w:val="2"/>
      <w:sz w:val="32"/>
      <w:szCs w:val="32"/>
    </w:rPr>
  </w:style>
  <w:style w:type="character" w:customStyle="1" w:styleId="154">
    <w:name w:val="ITTHEADER2 Char"/>
    <w:qFormat/>
    <w:uiPriority w:val="0"/>
    <w:rPr>
      <w:rFonts w:ascii="仿宋_GB2312" w:eastAsia="仿宋_GB2312" w:cs="MingLiU"/>
      <w:b/>
      <w:spacing w:val="1"/>
      <w:w w:val="99"/>
      <w:sz w:val="28"/>
      <w:szCs w:val="32"/>
      <w:lang w:val="en-US" w:eastAsia="zh-CN" w:bidi="ar-SA"/>
    </w:rPr>
  </w:style>
  <w:style w:type="character" w:customStyle="1" w:styleId="155">
    <w:name w:val="标题 9 Char1"/>
    <w:qFormat/>
    <w:uiPriority w:val="0"/>
    <w:rPr>
      <w:rFonts w:ascii="Times New Roman" w:hAnsi="Times New Roman" w:eastAsia="仿宋_GB2312" w:cs="Times New Roman"/>
      <w:sz w:val="30"/>
      <w:szCs w:val="20"/>
    </w:rPr>
  </w:style>
  <w:style w:type="character" w:customStyle="1" w:styleId="156">
    <w:name w:val="正文文本 Char1"/>
    <w:qFormat/>
    <w:uiPriority w:val="0"/>
    <w:rPr>
      <w:kern w:val="2"/>
      <w:sz w:val="21"/>
      <w:szCs w:val="22"/>
    </w:rPr>
  </w:style>
  <w:style w:type="character" w:customStyle="1" w:styleId="157">
    <w:name w:val="引用 Char2"/>
    <w:qFormat/>
    <w:uiPriority w:val="99"/>
    <w:rPr>
      <w:i/>
      <w:iCs/>
      <w:color w:val="000000"/>
      <w:kern w:val="2"/>
      <w:sz w:val="21"/>
      <w:szCs w:val="24"/>
    </w:rPr>
  </w:style>
  <w:style w:type="character" w:customStyle="1" w:styleId="158">
    <w:name w:val="正文文本 Char3"/>
    <w:qFormat/>
    <w:uiPriority w:val="99"/>
    <w:rPr>
      <w:rFonts w:ascii="Calibri" w:hAnsi="Calibri" w:eastAsia="宋体" w:cs="Times New Roman"/>
      <w:szCs w:val="24"/>
    </w:rPr>
  </w:style>
  <w:style w:type="character" w:customStyle="1" w:styleId="159">
    <w:name w:val="日期 字符"/>
    <w:link w:val="27"/>
    <w:qFormat/>
    <w:uiPriority w:val="0"/>
    <w:rPr>
      <w:rFonts w:eastAsia="宋体"/>
      <w:kern w:val="2"/>
      <w:sz w:val="21"/>
      <w:szCs w:val="24"/>
      <w:lang w:val="en-US" w:eastAsia="zh-CN" w:bidi="ar-SA"/>
    </w:rPr>
  </w:style>
  <w:style w:type="character" w:customStyle="1" w:styleId="160">
    <w:name w:val="标题 2 Char"/>
    <w:qFormat/>
    <w:uiPriority w:val="0"/>
    <w:rPr>
      <w:rFonts w:ascii="仿宋_GB2312" w:hAnsi="Calibri" w:eastAsia="仿宋_GB2312" w:cs="Times New Roman"/>
      <w:b/>
      <w:spacing w:val="1"/>
      <w:w w:val="99"/>
      <w:kern w:val="0"/>
      <w:sz w:val="28"/>
      <w:szCs w:val="32"/>
    </w:rPr>
  </w:style>
  <w:style w:type="character" w:customStyle="1" w:styleId="161">
    <w:name w:val="标题 7 Char"/>
    <w:qFormat/>
    <w:uiPriority w:val="0"/>
    <w:rPr>
      <w:rFonts w:ascii="Calibri" w:hAnsi="Calibri" w:eastAsia="宋体" w:cs="Times New Roman"/>
      <w:b/>
      <w:bCs/>
      <w:sz w:val="24"/>
      <w:szCs w:val="24"/>
    </w:rPr>
  </w:style>
  <w:style w:type="character" w:customStyle="1" w:styleId="162">
    <w:name w:val="批注框文本 Char1"/>
    <w:qFormat/>
    <w:uiPriority w:val="0"/>
    <w:rPr>
      <w:kern w:val="2"/>
      <w:sz w:val="18"/>
      <w:szCs w:val="18"/>
    </w:rPr>
  </w:style>
  <w:style w:type="character" w:customStyle="1" w:styleId="163">
    <w:name w:val="日期 Char1"/>
    <w:qFormat/>
    <w:uiPriority w:val="0"/>
    <w:rPr>
      <w:kern w:val="2"/>
      <w:sz w:val="21"/>
      <w:szCs w:val="22"/>
    </w:rPr>
  </w:style>
  <w:style w:type="character" w:customStyle="1" w:styleId="164">
    <w:name w:val="_Style 171"/>
    <w:qFormat/>
    <w:uiPriority w:val="0"/>
    <w:rPr>
      <w:b/>
      <w:bCs/>
      <w:i/>
      <w:iCs/>
      <w:color w:val="4F81BD"/>
    </w:rPr>
  </w:style>
  <w:style w:type="character" w:customStyle="1" w:styleId="165">
    <w:name w:val="Char Char22"/>
    <w:qFormat/>
    <w:uiPriority w:val="0"/>
    <w:rPr>
      <w:b/>
      <w:bCs/>
      <w:kern w:val="2"/>
      <w:sz w:val="32"/>
      <w:szCs w:val="32"/>
    </w:rPr>
  </w:style>
  <w:style w:type="character" w:customStyle="1" w:styleId="166">
    <w:name w:val="标题 6 Char1"/>
    <w:qFormat/>
    <w:uiPriority w:val="0"/>
    <w:rPr>
      <w:rFonts w:ascii="Times New Roman" w:hAnsi="Arial" w:eastAsia="仿宋_GB2312" w:cs="Times New Roman"/>
      <w:sz w:val="30"/>
      <w:szCs w:val="20"/>
    </w:rPr>
  </w:style>
  <w:style w:type="character" w:customStyle="1" w:styleId="167">
    <w:name w:val="标题5 Char Char"/>
    <w:link w:val="118"/>
    <w:qFormat/>
    <w:uiPriority w:val="0"/>
    <w:rPr>
      <w:rFonts w:ascii="Arial" w:hAnsi="Arial"/>
      <w:b/>
      <w:bCs/>
      <w:sz w:val="24"/>
      <w:szCs w:val="32"/>
      <w:lang w:bidi="ar-SA"/>
    </w:rPr>
  </w:style>
  <w:style w:type="character" w:customStyle="1" w:styleId="168">
    <w:name w:val="正文文本缩进 Char1"/>
    <w:qFormat/>
    <w:uiPriority w:val="0"/>
    <w:rPr>
      <w:kern w:val="2"/>
      <w:sz w:val="21"/>
      <w:szCs w:val="24"/>
    </w:rPr>
  </w:style>
  <w:style w:type="character" w:customStyle="1" w:styleId="169">
    <w:name w:val="标题 4 Char1"/>
    <w:qFormat/>
    <w:uiPriority w:val="0"/>
    <w:rPr>
      <w:rFonts w:ascii="宋体" w:hAnsi="宋体" w:eastAsia="宋体" w:cs="宋体"/>
      <w:b/>
      <w:bCs/>
      <w:sz w:val="24"/>
      <w:szCs w:val="24"/>
    </w:rPr>
  </w:style>
  <w:style w:type="character" w:customStyle="1" w:styleId="170">
    <w:name w:val="尾注文本 Char"/>
    <w:qFormat/>
    <w:uiPriority w:val="0"/>
    <w:rPr>
      <w:kern w:val="2"/>
      <w:sz w:val="21"/>
      <w:szCs w:val="24"/>
    </w:rPr>
  </w:style>
  <w:style w:type="character" w:customStyle="1" w:styleId="171">
    <w:name w:val="HTML 预设格式 字符"/>
    <w:link w:val="42"/>
    <w:qFormat/>
    <w:uiPriority w:val="0"/>
    <w:rPr>
      <w:rFonts w:ascii="宋体" w:hAnsi="宋体" w:eastAsia="宋体" w:cs="宋体"/>
      <w:color w:val="000000"/>
      <w:sz w:val="24"/>
      <w:szCs w:val="24"/>
      <w:lang w:val="en-US" w:eastAsia="zh-CN" w:bidi="ar-SA"/>
    </w:rPr>
  </w:style>
  <w:style w:type="character" w:customStyle="1" w:styleId="172">
    <w:name w:val="尾注文本 Char2"/>
    <w:qFormat/>
    <w:uiPriority w:val="99"/>
    <w:rPr>
      <w:rFonts w:ascii="Calibri" w:hAnsi="Calibri" w:eastAsia="宋体" w:cs="Times New Roman"/>
      <w:szCs w:val="24"/>
    </w:rPr>
  </w:style>
  <w:style w:type="character" w:customStyle="1" w:styleId="173">
    <w:name w:val="明显强调1"/>
    <w:qFormat/>
    <w:uiPriority w:val="0"/>
    <w:rPr>
      <w:b/>
      <w:bCs/>
      <w:i/>
      <w:iCs/>
      <w:color w:val="4F81BD"/>
    </w:rPr>
  </w:style>
  <w:style w:type="character" w:customStyle="1" w:styleId="174">
    <w:name w:val="正文文本 Char"/>
    <w:qFormat/>
    <w:uiPriority w:val="0"/>
    <w:rPr>
      <w:sz w:val="26"/>
      <w:szCs w:val="24"/>
    </w:rPr>
  </w:style>
  <w:style w:type="character" w:customStyle="1" w:styleId="175">
    <w:name w:val="脚注文本 Char2"/>
    <w:qFormat/>
    <w:uiPriority w:val="99"/>
    <w:rPr>
      <w:rFonts w:ascii="Calibri" w:hAnsi="Calibri" w:eastAsia="宋体" w:cs="Times New Roman"/>
      <w:sz w:val="18"/>
      <w:szCs w:val="18"/>
    </w:rPr>
  </w:style>
  <w:style w:type="character" w:customStyle="1" w:styleId="176">
    <w:name w:val="正文文本 2 Char1"/>
    <w:qFormat/>
    <w:uiPriority w:val="99"/>
    <w:rPr>
      <w:rFonts w:ascii="Calibri" w:hAnsi="Calibri" w:eastAsia="宋体" w:cs="Times New Roman"/>
      <w:szCs w:val="24"/>
    </w:rPr>
  </w:style>
  <w:style w:type="character" w:customStyle="1" w:styleId="177">
    <w:name w:val="_Style 248"/>
    <w:qFormat/>
    <w:uiPriority w:val="0"/>
    <w:rPr>
      <w:b/>
      <w:bCs/>
      <w:smallCaps/>
      <w:spacing w:val="5"/>
    </w:rPr>
  </w:style>
  <w:style w:type="character" w:customStyle="1" w:styleId="178">
    <w:name w:val="明显引用 Char3"/>
    <w:qFormat/>
    <w:uiPriority w:val="30"/>
    <w:rPr>
      <w:rFonts w:ascii="Calibri" w:hAnsi="Calibri" w:eastAsia="宋体" w:cs="Times New Roman"/>
      <w:b/>
      <w:bCs/>
      <w:i/>
      <w:iCs/>
      <w:color w:val="4F81BD"/>
      <w:szCs w:val="24"/>
    </w:rPr>
  </w:style>
  <w:style w:type="character" w:customStyle="1" w:styleId="179">
    <w:name w:val="_Style 254"/>
    <w:qFormat/>
    <w:uiPriority w:val="0"/>
    <w:rPr>
      <w:b/>
      <w:bCs/>
      <w:smallCaps/>
      <w:color w:val="C0504D"/>
      <w:spacing w:val="5"/>
      <w:u w:val="single"/>
    </w:rPr>
  </w:style>
  <w:style w:type="character" w:customStyle="1" w:styleId="180">
    <w:name w:val="正文文本缩进 Char2"/>
    <w:qFormat/>
    <w:uiPriority w:val="99"/>
    <w:rPr>
      <w:rFonts w:ascii="Calibri" w:hAnsi="Calibri" w:eastAsia="宋体" w:cs="Times New Roman"/>
      <w:szCs w:val="24"/>
    </w:rPr>
  </w:style>
  <w:style w:type="character" w:customStyle="1" w:styleId="181">
    <w:name w:val="标题 4 字符"/>
    <w:link w:val="7"/>
    <w:qFormat/>
    <w:uiPriority w:val="0"/>
    <w:rPr>
      <w:rFonts w:ascii="宋体" w:hAnsi="宋体" w:eastAsia="宋体" w:cs="宋体"/>
      <w:b/>
      <w:bCs/>
      <w:sz w:val="24"/>
      <w:szCs w:val="24"/>
      <w:lang w:val="en-US" w:eastAsia="zh-CN" w:bidi="ar-SA"/>
    </w:rPr>
  </w:style>
  <w:style w:type="character" w:customStyle="1" w:styleId="182">
    <w:name w:val="正文文本缩进 3 Char"/>
    <w:qFormat/>
    <w:uiPriority w:val="0"/>
    <w:rPr>
      <w:kern w:val="2"/>
      <w:sz w:val="16"/>
      <w:szCs w:val="16"/>
    </w:rPr>
  </w:style>
  <w:style w:type="character" w:customStyle="1" w:styleId="183">
    <w:name w:val="尾注文本 字符"/>
    <w:link w:val="29"/>
    <w:qFormat/>
    <w:uiPriority w:val="0"/>
    <w:rPr>
      <w:rFonts w:ascii="Arial" w:hAnsi="Arial" w:eastAsia="宋体" w:cs="Arial"/>
      <w:szCs w:val="24"/>
      <w:lang w:val="en-US" w:eastAsia="en-US" w:bidi="ar-SA"/>
    </w:rPr>
  </w:style>
  <w:style w:type="character" w:customStyle="1" w:styleId="184">
    <w:name w:val="引用 Char3"/>
    <w:qFormat/>
    <w:uiPriority w:val="29"/>
    <w:rPr>
      <w:rFonts w:ascii="Calibri" w:hAnsi="Calibri" w:eastAsia="宋体" w:cs="Times New Roman"/>
      <w:i/>
      <w:iCs/>
      <w:color w:val="000000"/>
      <w:szCs w:val="24"/>
    </w:rPr>
  </w:style>
  <w:style w:type="character" w:customStyle="1" w:styleId="185">
    <w:name w:val="Char Char32"/>
    <w:qFormat/>
    <w:uiPriority w:val="0"/>
    <w:rPr>
      <w:rFonts w:ascii="仿宋_GB2312" w:eastAsia="仿宋_GB2312" w:cs="MingLiU"/>
      <w:b/>
      <w:spacing w:val="1"/>
      <w:w w:val="99"/>
      <w:sz w:val="28"/>
      <w:szCs w:val="32"/>
    </w:rPr>
  </w:style>
  <w:style w:type="character" w:customStyle="1" w:styleId="186">
    <w:name w:val="日期 Char"/>
    <w:qFormat/>
    <w:uiPriority w:val="0"/>
    <w:rPr>
      <w:rFonts w:eastAsia="宋体"/>
      <w:szCs w:val="24"/>
    </w:rPr>
  </w:style>
  <w:style w:type="character" w:customStyle="1" w:styleId="187">
    <w:name w:val="页脚 Char"/>
    <w:qFormat/>
    <w:uiPriority w:val="0"/>
    <w:rPr>
      <w:sz w:val="18"/>
      <w:szCs w:val="18"/>
    </w:rPr>
  </w:style>
  <w:style w:type="character" w:customStyle="1" w:styleId="188">
    <w:name w:val="style121"/>
    <w:qFormat/>
    <w:uiPriority w:val="0"/>
    <w:rPr>
      <w:rFonts w:hint="eastAsia" w:ascii="宋体" w:hAnsi="宋体" w:eastAsia="宋体"/>
      <w:sz w:val="18"/>
      <w:szCs w:val="18"/>
    </w:rPr>
  </w:style>
  <w:style w:type="character" w:customStyle="1" w:styleId="189">
    <w:name w:val="ss16"/>
    <w:qFormat/>
    <w:uiPriority w:val="0"/>
    <w:rPr>
      <w:rFonts w:hint="eastAsia" w:ascii="宋体" w:hAnsi="宋体" w:eastAsia="宋体"/>
      <w:color w:val="000000"/>
      <w:sz w:val="9"/>
      <w:szCs w:val="9"/>
    </w:rPr>
  </w:style>
  <w:style w:type="character" w:customStyle="1" w:styleId="190">
    <w:name w:val="textcontents"/>
    <w:qFormat/>
    <w:uiPriority w:val="0"/>
    <w:rPr>
      <w:rFonts w:cs="Times New Roman"/>
    </w:rPr>
  </w:style>
  <w:style w:type="character" w:customStyle="1" w:styleId="191">
    <w:name w:val="14t1"/>
    <w:qFormat/>
    <w:uiPriority w:val="0"/>
    <w:rPr>
      <w:rFonts w:hint="eastAsia" w:ascii="宋体" w:hAnsi="宋体" w:eastAsia="宋体"/>
      <w:sz w:val="11"/>
      <w:szCs w:val="11"/>
    </w:rPr>
  </w:style>
  <w:style w:type="character" w:customStyle="1" w:styleId="192">
    <w:name w:val="不明显参考1"/>
    <w:qFormat/>
    <w:uiPriority w:val="0"/>
    <w:rPr>
      <w:smallCaps/>
      <w:color w:val="C0504D"/>
      <w:u w:val="single"/>
    </w:rPr>
  </w:style>
  <w:style w:type="character" w:customStyle="1" w:styleId="193">
    <w:name w:val="unnamed1"/>
    <w:basedOn w:val="49"/>
    <w:qFormat/>
    <w:uiPriority w:val="0"/>
  </w:style>
  <w:style w:type="character" w:customStyle="1" w:styleId="194">
    <w:name w:val="批注主题 Char3"/>
    <w:qFormat/>
    <w:uiPriority w:val="99"/>
    <w:rPr>
      <w:rFonts w:ascii="Calibri" w:hAnsi="Calibri" w:eastAsia="宋体" w:cs="Times New Roman"/>
      <w:b/>
      <w:bCs/>
      <w:szCs w:val="24"/>
    </w:rPr>
  </w:style>
  <w:style w:type="character" w:customStyle="1" w:styleId="195">
    <w:name w:val="标题 3 字符"/>
    <w:link w:val="6"/>
    <w:qFormat/>
    <w:uiPriority w:val="0"/>
    <w:rPr>
      <w:rFonts w:eastAsia="宋体"/>
      <w:b/>
      <w:bCs/>
      <w:kern w:val="2"/>
      <w:sz w:val="32"/>
      <w:szCs w:val="32"/>
      <w:lang w:val="en-US" w:eastAsia="zh-CN" w:bidi="ar-SA"/>
    </w:rPr>
  </w:style>
  <w:style w:type="character" w:customStyle="1" w:styleId="196">
    <w:name w:val="标题 2 字符"/>
    <w:link w:val="5"/>
    <w:qFormat/>
    <w:uiPriority w:val="0"/>
    <w:rPr>
      <w:rFonts w:ascii="Cambria" w:hAnsi="Cambria" w:eastAsia="宋体"/>
      <w:b/>
      <w:bCs/>
      <w:kern w:val="2"/>
      <w:sz w:val="32"/>
      <w:szCs w:val="32"/>
      <w:lang w:val="en-US" w:eastAsia="zh-CN" w:bidi="ar-SA"/>
    </w:rPr>
  </w:style>
  <w:style w:type="character" w:customStyle="1" w:styleId="197">
    <w:name w:val="标题 6 字符"/>
    <w:link w:val="9"/>
    <w:qFormat/>
    <w:uiPriority w:val="0"/>
    <w:rPr>
      <w:rFonts w:hAnsi="Arial" w:eastAsia="仿宋_GB2312"/>
      <w:sz w:val="30"/>
      <w:lang w:val="en-US" w:eastAsia="zh-CN" w:bidi="ar-SA"/>
    </w:rPr>
  </w:style>
  <w:style w:type="character" w:customStyle="1" w:styleId="198">
    <w:name w:val="页脚 字符"/>
    <w:link w:val="31"/>
    <w:qFormat/>
    <w:uiPriority w:val="0"/>
    <w:rPr>
      <w:rFonts w:eastAsia="宋体"/>
      <w:kern w:val="2"/>
      <w:sz w:val="18"/>
      <w:szCs w:val="18"/>
      <w:lang w:val="en-US" w:eastAsia="zh-CN" w:bidi="ar-SA"/>
    </w:rPr>
  </w:style>
  <w:style w:type="character" w:customStyle="1" w:styleId="199">
    <w:name w:val="引用 Char4"/>
    <w:link w:val="104"/>
    <w:qFormat/>
    <w:uiPriority w:val="0"/>
    <w:rPr>
      <w:i/>
      <w:iCs/>
      <w:color w:val="000000"/>
      <w:kern w:val="2"/>
      <w:sz w:val="21"/>
      <w:szCs w:val="22"/>
      <w:lang w:bidi="ar-SA"/>
    </w:rPr>
  </w:style>
  <w:style w:type="character" w:customStyle="1" w:styleId="200">
    <w:name w:val="标题 9 字符"/>
    <w:link w:val="13"/>
    <w:qFormat/>
    <w:uiPriority w:val="0"/>
    <w:rPr>
      <w:rFonts w:eastAsia="仿宋_GB2312"/>
      <w:sz w:val="30"/>
      <w:lang w:val="en-US" w:eastAsia="zh-CN" w:bidi="ar-SA"/>
    </w:rPr>
  </w:style>
  <w:style w:type="character" w:customStyle="1" w:styleId="201">
    <w:name w:val="标题 3 Char"/>
    <w:qFormat/>
    <w:uiPriority w:val="0"/>
    <w:rPr>
      <w:rFonts w:ascii="仿宋_GB2312" w:hAnsi="Calibri" w:eastAsia="仿宋_GB2312" w:cs="Times New Roman"/>
      <w:b/>
      <w:kern w:val="0"/>
      <w:sz w:val="24"/>
      <w:szCs w:val="28"/>
    </w:rPr>
  </w:style>
  <w:style w:type="character" w:customStyle="1" w:styleId="202">
    <w:name w:val="批注文字 Char2"/>
    <w:qFormat/>
    <w:uiPriority w:val="0"/>
    <w:rPr>
      <w:rFonts w:ascii="Calibri" w:hAnsi="Calibri" w:eastAsia="宋体" w:cs="Times New Roman"/>
      <w:szCs w:val="24"/>
    </w:rPr>
  </w:style>
  <w:style w:type="character" w:customStyle="1" w:styleId="203">
    <w:name w:val="normaltext1"/>
    <w:qFormat/>
    <w:uiPriority w:val="0"/>
    <w:rPr>
      <w:rFonts w:hint="default" w:ascii="ˎ̥" w:hAnsi="ˎ̥"/>
      <w:sz w:val="9"/>
      <w:szCs w:val="9"/>
    </w:rPr>
  </w:style>
  <w:style w:type="character" w:customStyle="1" w:styleId="204">
    <w:name w:val="ca-141"/>
    <w:qFormat/>
    <w:uiPriority w:val="0"/>
    <w:rPr>
      <w:rFonts w:hint="eastAsia" w:ascii="仿宋_GB2312" w:eastAsia="仿宋_GB2312"/>
      <w:sz w:val="21"/>
      <w:szCs w:val="21"/>
    </w:rPr>
  </w:style>
  <w:style w:type="character" w:customStyle="1" w:styleId="205">
    <w:name w:val="main_tdbg_7601"/>
    <w:qFormat/>
    <w:uiPriority w:val="0"/>
    <w:rPr>
      <w:sz w:val="14"/>
      <w:szCs w:val="14"/>
    </w:rPr>
  </w:style>
  <w:style w:type="character" w:customStyle="1" w:styleId="206">
    <w:name w:val="文档结构图 字符"/>
    <w:link w:val="17"/>
    <w:qFormat/>
    <w:uiPriority w:val="0"/>
    <w:rPr>
      <w:rFonts w:eastAsia="宋体"/>
      <w:kern w:val="2"/>
      <w:sz w:val="21"/>
      <w:szCs w:val="24"/>
      <w:lang w:val="en-US" w:eastAsia="zh-CN" w:bidi="ar-SA"/>
    </w:rPr>
  </w:style>
  <w:style w:type="character" w:customStyle="1" w:styleId="207">
    <w:name w:val="批注框文本 Char3"/>
    <w:qFormat/>
    <w:uiPriority w:val="99"/>
    <w:rPr>
      <w:rFonts w:ascii="Calibri" w:hAnsi="Calibri" w:eastAsia="宋体" w:cs="Times New Roman"/>
      <w:sz w:val="18"/>
      <w:szCs w:val="18"/>
    </w:rPr>
  </w:style>
  <w:style w:type="character" w:customStyle="1" w:styleId="208">
    <w:name w:val="Char Char9"/>
    <w:qFormat/>
    <w:uiPriority w:val="0"/>
    <w:rPr>
      <w:rFonts w:ascii="仿宋_GB2312" w:eastAsia="仿宋_GB2312" w:cs="MingLiU"/>
      <w:b/>
      <w:sz w:val="24"/>
      <w:szCs w:val="28"/>
      <w:lang w:val="en-US" w:eastAsia="zh-CN" w:bidi="ar-SA"/>
    </w:rPr>
  </w:style>
  <w:style w:type="character" w:customStyle="1" w:styleId="209">
    <w:name w:val="title11"/>
    <w:qFormat/>
    <w:uiPriority w:val="0"/>
    <w:rPr>
      <w:b/>
      <w:bCs/>
      <w:color w:val="FFFFFF"/>
      <w:sz w:val="11"/>
      <w:szCs w:val="11"/>
    </w:rPr>
  </w:style>
  <w:style w:type="character" w:customStyle="1" w:styleId="210">
    <w:name w:val="批注框文本 字符"/>
    <w:link w:val="30"/>
    <w:qFormat/>
    <w:uiPriority w:val="0"/>
    <w:rPr>
      <w:rFonts w:eastAsia="宋体"/>
      <w:kern w:val="2"/>
      <w:sz w:val="18"/>
      <w:szCs w:val="18"/>
      <w:lang w:val="en-US" w:eastAsia="zh-CN" w:bidi="ar-SA"/>
    </w:rPr>
  </w:style>
  <w:style w:type="character" w:customStyle="1" w:styleId="211">
    <w:name w:val="标题 8 Char1"/>
    <w:qFormat/>
    <w:uiPriority w:val="0"/>
    <w:rPr>
      <w:rFonts w:ascii="Times New Roman" w:hAnsi="Arial" w:eastAsia="仿宋_GB2312" w:cs="Times New Roman"/>
      <w:sz w:val="30"/>
      <w:szCs w:val="20"/>
    </w:rPr>
  </w:style>
  <w:style w:type="character" w:customStyle="1" w:styleId="212">
    <w:name w:val="标题 Char2"/>
    <w:qFormat/>
    <w:uiPriority w:val="10"/>
    <w:rPr>
      <w:rFonts w:ascii="Cambria" w:hAnsi="Cambria" w:eastAsia="宋体" w:cs="Times New Roman"/>
      <w:b/>
      <w:bCs/>
      <w:sz w:val="32"/>
      <w:szCs w:val="32"/>
    </w:rPr>
  </w:style>
  <w:style w:type="character" w:customStyle="1" w:styleId="213">
    <w:name w:val="标题 字符"/>
    <w:link w:val="45"/>
    <w:qFormat/>
    <w:uiPriority w:val="0"/>
    <w:rPr>
      <w:rFonts w:eastAsia="宋体"/>
      <w:szCs w:val="24"/>
      <w:u w:val="single"/>
      <w:lang w:val="en-US" w:eastAsia="en-US" w:bidi="ar-SA"/>
    </w:rPr>
  </w:style>
  <w:style w:type="character" w:customStyle="1" w:styleId="214">
    <w:name w:val="批注主题 Char1"/>
    <w:qFormat/>
    <w:uiPriority w:val="0"/>
    <w:rPr>
      <w:b/>
      <w:bCs/>
      <w:kern w:val="2"/>
      <w:sz w:val="21"/>
      <w:szCs w:val="22"/>
    </w:rPr>
  </w:style>
  <w:style w:type="character" w:customStyle="1" w:styleId="215">
    <w:name w:val="副标题 Char"/>
    <w:qFormat/>
    <w:uiPriority w:val="0"/>
    <w:rPr>
      <w:rFonts w:ascii="Cambria" w:hAnsi="Cambria" w:eastAsia="宋体" w:cs="Times New Roman"/>
      <w:b/>
      <w:bCs/>
      <w:kern w:val="28"/>
      <w:sz w:val="32"/>
      <w:szCs w:val="32"/>
    </w:rPr>
  </w:style>
  <w:style w:type="character" w:customStyle="1" w:styleId="216">
    <w:name w:val="正文文本 字符"/>
    <w:link w:val="20"/>
    <w:qFormat/>
    <w:uiPriority w:val="0"/>
    <w:rPr>
      <w:rFonts w:eastAsia="宋体"/>
      <w:kern w:val="2"/>
      <w:sz w:val="21"/>
      <w:szCs w:val="24"/>
      <w:lang w:val="en-US" w:eastAsia="zh-CN" w:bidi="ar-SA"/>
    </w:rPr>
  </w:style>
  <w:style w:type="character" w:customStyle="1" w:styleId="217">
    <w:name w:val="纯文本 Char1"/>
    <w:qFormat/>
    <w:uiPriority w:val="0"/>
    <w:rPr>
      <w:rFonts w:ascii="宋体" w:hAnsi="Courier New" w:cs="Courier New"/>
      <w:kern w:val="2"/>
      <w:sz w:val="21"/>
      <w:szCs w:val="21"/>
    </w:rPr>
  </w:style>
  <w:style w:type="character" w:customStyle="1" w:styleId="218">
    <w:name w:val="脚注文本 字符"/>
    <w:link w:val="36"/>
    <w:qFormat/>
    <w:uiPriority w:val="0"/>
    <w:rPr>
      <w:rFonts w:ascii="Arial" w:hAnsi="Arial" w:eastAsia="宋体" w:cs="Arial"/>
      <w:sz w:val="18"/>
      <w:szCs w:val="18"/>
      <w:lang w:val="en-US" w:eastAsia="en-US" w:bidi="ar-SA"/>
    </w:rPr>
  </w:style>
  <w:style w:type="character" w:customStyle="1" w:styleId="219">
    <w:name w:val="标题 2 Char1"/>
    <w:qFormat/>
    <w:uiPriority w:val="0"/>
    <w:rPr>
      <w:rFonts w:ascii="Cambria" w:hAnsi="Cambria" w:eastAsia="宋体" w:cs="Times New Roman"/>
      <w:b/>
      <w:bCs/>
      <w:kern w:val="2"/>
      <w:sz w:val="32"/>
      <w:szCs w:val="32"/>
    </w:rPr>
  </w:style>
  <w:style w:type="character" w:customStyle="1" w:styleId="220">
    <w:name w:val="脚注文本 Char1"/>
    <w:qFormat/>
    <w:uiPriority w:val="0"/>
    <w:rPr>
      <w:rFonts w:ascii="Arial" w:hAnsi="Arial" w:cs="Arial"/>
      <w:sz w:val="18"/>
      <w:szCs w:val="18"/>
      <w:lang w:eastAsia="en-US"/>
    </w:rPr>
  </w:style>
  <w:style w:type="character" w:customStyle="1" w:styleId="221">
    <w:name w:val="HTML 预设格式 Char2"/>
    <w:qFormat/>
    <w:uiPriority w:val="99"/>
    <w:rPr>
      <w:rFonts w:ascii="Courier New" w:hAnsi="Courier New" w:eastAsia="宋体" w:cs="Courier New"/>
      <w:sz w:val="20"/>
      <w:szCs w:val="20"/>
    </w:rPr>
  </w:style>
  <w:style w:type="character" w:customStyle="1" w:styleId="222">
    <w:name w:val="标题 8 Char"/>
    <w:qFormat/>
    <w:uiPriority w:val="0"/>
    <w:rPr>
      <w:rFonts w:ascii="Arial" w:hAnsi="Arial" w:eastAsia="黑体" w:cs="Times New Roman"/>
      <w:sz w:val="24"/>
      <w:szCs w:val="24"/>
    </w:rPr>
  </w:style>
  <w:style w:type="character" w:customStyle="1" w:styleId="223">
    <w:name w:val="s3"/>
    <w:qFormat/>
    <w:uiPriority w:val="0"/>
  </w:style>
  <w:style w:type="character" w:customStyle="1" w:styleId="224">
    <w:name w:val="标题 4 Char"/>
    <w:qFormat/>
    <w:uiPriority w:val="0"/>
    <w:rPr>
      <w:rFonts w:ascii="仿宋_GB2312" w:hAnsi="Calibri" w:eastAsia="仿宋_GB2312" w:cs="Times New Roman"/>
      <w:b/>
      <w:kern w:val="0"/>
      <w:sz w:val="24"/>
      <w:szCs w:val="28"/>
    </w:rPr>
  </w:style>
  <w:style w:type="character" w:customStyle="1" w:styleId="225">
    <w:name w:val="正文文本缩进 2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正文文本缩进 2 Char2"/>
    <w:qFormat/>
    <w:uiPriority w:val="99"/>
    <w:rPr>
      <w:rFonts w:ascii="Calibri" w:hAnsi="Calibri" w:eastAsia="宋体" w:cs="Times New Roman"/>
      <w:szCs w:val="24"/>
    </w:rPr>
  </w:style>
  <w:style w:type="character" w:customStyle="1" w:styleId="228">
    <w:name w:val="ht1"/>
    <w:qFormat/>
    <w:uiPriority w:val="0"/>
    <w:rPr>
      <w:rFonts w:ascii="黑体" w:eastAsia="黑体"/>
      <w:b/>
      <w:bCs/>
    </w:rPr>
  </w:style>
  <w:style w:type="character" w:customStyle="1" w:styleId="229">
    <w:name w:val="文档结构图 Char3"/>
    <w:qFormat/>
    <w:uiPriority w:val="99"/>
    <w:rPr>
      <w:rFonts w:ascii="宋体" w:hAnsi="Calibri" w:eastAsia="宋体" w:cs="Times New Roman"/>
      <w:sz w:val="18"/>
      <w:szCs w:val="18"/>
    </w:rPr>
  </w:style>
  <w:style w:type="character" w:customStyle="1" w:styleId="230">
    <w:name w:val="书籍标题1"/>
    <w:qFormat/>
    <w:uiPriority w:val="0"/>
    <w:rPr>
      <w:b/>
      <w:bCs/>
      <w:smallCaps/>
      <w:spacing w:val="5"/>
    </w:rPr>
  </w:style>
  <w:style w:type="character" w:customStyle="1" w:styleId="231">
    <w:name w:val="标题 7 Char1"/>
    <w:qFormat/>
    <w:uiPriority w:val="0"/>
    <w:rPr>
      <w:rFonts w:ascii="Times New Roman" w:hAnsi="Times New Roman" w:eastAsia="仿宋_GB2312" w:cs="Times New Roman"/>
      <w:sz w:val="30"/>
      <w:szCs w:val="20"/>
    </w:rPr>
  </w:style>
  <w:style w:type="character" w:customStyle="1" w:styleId="232">
    <w:name w:val="明显引用 Char2"/>
    <w:qFormat/>
    <w:uiPriority w:val="99"/>
    <w:rPr>
      <w:b/>
      <w:bCs/>
      <w:i/>
      <w:iCs/>
      <w:color w:val="4F81BD"/>
      <w:kern w:val="2"/>
      <w:sz w:val="21"/>
      <w:szCs w:val="24"/>
    </w:rPr>
  </w:style>
  <w:style w:type="character" w:customStyle="1" w:styleId="233">
    <w:name w:val="不明显强调1"/>
    <w:qFormat/>
    <w:uiPriority w:val="0"/>
    <w:rPr>
      <w:i/>
      <w:iCs/>
      <w:color w:val="808080"/>
    </w:rPr>
  </w:style>
  <w:style w:type="character" w:customStyle="1" w:styleId="234">
    <w:name w:val="普通文字 Char Char2"/>
    <w:qFormat/>
    <w:uiPriority w:val="0"/>
    <w:rPr>
      <w:rFonts w:ascii="宋体" w:hAnsi="Courier New"/>
      <w:kern w:val="2"/>
      <w:sz w:val="28"/>
      <w:szCs w:val="28"/>
    </w:rPr>
  </w:style>
  <w:style w:type="character" w:customStyle="1" w:styleId="235">
    <w:name w:val="标题 6 Char"/>
    <w:qFormat/>
    <w:uiPriority w:val="0"/>
    <w:rPr>
      <w:rFonts w:ascii="Arial" w:hAnsi="Arial" w:eastAsia="黑体" w:cs="Times New Roman"/>
      <w:b/>
      <w:bCs/>
      <w:sz w:val="24"/>
      <w:szCs w:val="24"/>
    </w:rPr>
  </w:style>
  <w:style w:type="character" w:customStyle="1" w:styleId="236">
    <w:name w:val="l1"/>
    <w:basedOn w:val="49"/>
    <w:qFormat/>
    <w:uiPriority w:val="0"/>
  </w:style>
  <w:style w:type="character" w:customStyle="1" w:styleId="237">
    <w:name w:val="未处理的提及1"/>
    <w:qFormat/>
    <w:uiPriority w:val="99"/>
    <w:rPr>
      <w:color w:val="808080"/>
      <w:shd w:val="clear" w:color="auto" w:fill="E6E6E6"/>
    </w:rPr>
  </w:style>
  <w:style w:type="character" w:customStyle="1" w:styleId="238">
    <w:name w:val="页眉 字符"/>
    <w:link w:val="32"/>
    <w:qFormat/>
    <w:uiPriority w:val="0"/>
    <w:rPr>
      <w:rFonts w:eastAsia="宋体"/>
      <w:kern w:val="2"/>
      <w:sz w:val="18"/>
      <w:szCs w:val="18"/>
      <w:lang w:val="en-US" w:eastAsia="zh-CN" w:bidi="ar-SA"/>
    </w:rPr>
  </w:style>
  <w:style w:type="character" w:customStyle="1" w:styleId="239">
    <w:name w:val="Char Char35"/>
    <w:qFormat/>
    <w:uiPriority w:val="0"/>
    <w:rPr>
      <w:rFonts w:ascii="仿宋_GB2312" w:eastAsia="仿宋_GB2312" w:cs="MingLiU"/>
      <w:b/>
      <w:sz w:val="24"/>
      <w:szCs w:val="28"/>
    </w:rPr>
  </w:style>
  <w:style w:type="character" w:customStyle="1" w:styleId="240">
    <w:name w:val="Char Char11"/>
    <w:qFormat/>
    <w:uiPriority w:val="0"/>
    <w:rPr>
      <w:rFonts w:eastAsia="黑体"/>
      <w:kern w:val="2"/>
      <w:sz w:val="44"/>
      <w:szCs w:val="44"/>
      <w:lang w:val="en-US" w:eastAsia="zh-CN" w:bidi="ar-SA"/>
    </w:rPr>
  </w:style>
  <w:style w:type="character" w:customStyle="1" w:styleId="241">
    <w:name w:val="style31"/>
    <w:qFormat/>
    <w:uiPriority w:val="0"/>
    <w:rPr>
      <w:sz w:val="10"/>
      <w:szCs w:val="10"/>
    </w:rPr>
  </w:style>
  <w:style w:type="character" w:customStyle="1" w:styleId="242">
    <w:name w:val="0d1471"/>
    <w:qFormat/>
    <w:uiPriority w:val="0"/>
    <w:rPr>
      <w:color w:val="000000"/>
      <w:sz w:val="11"/>
      <w:szCs w:val="11"/>
      <w:u w:val="none"/>
    </w:rPr>
  </w:style>
  <w:style w:type="character" w:customStyle="1" w:styleId="243">
    <w:name w:val="标题 9 Char"/>
    <w:qFormat/>
    <w:uiPriority w:val="0"/>
    <w:rPr>
      <w:rFonts w:ascii="Arial" w:hAnsi="Arial" w:eastAsia="黑体" w:cs="Times New Roman"/>
      <w:szCs w:val="21"/>
    </w:rPr>
  </w:style>
  <w:style w:type="character" w:customStyle="1" w:styleId="244">
    <w:name w:val="标题 3 Char1"/>
    <w:qFormat/>
    <w:uiPriority w:val="0"/>
    <w:rPr>
      <w:rFonts w:ascii="Times New Roman" w:hAnsi="Times New Roman" w:eastAsia="宋体" w:cs="Times New Roman"/>
      <w:b/>
      <w:bCs/>
      <w:kern w:val="2"/>
      <w:sz w:val="32"/>
      <w:szCs w:val="32"/>
    </w:rPr>
  </w:style>
  <w:style w:type="character" w:customStyle="1" w:styleId="245">
    <w:name w:val="标题4 Char Char"/>
    <w:link w:val="89"/>
    <w:qFormat/>
    <w:uiPriority w:val="0"/>
    <w:rPr>
      <w:rFonts w:ascii="Arial" w:hAnsi="Arial"/>
      <w:b/>
      <w:bCs/>
      <w:sz w:val="24"/>
      <w:szCs w:val="32"/>
      <w:lang w:bidi="ar-SA"/>
    </w:rPr>
  </w:style>
  <w:style w:type="character" w:customStyle="1" w:styleId="246">
    <w:name w:val="标题 5 Char1"/>
    <w:qFormat/>
    <w:uiPriority w:val="0"/>
    <w:rPr>
      <w:rFonts w:ascii="宋体" w:hAnsi="宋体" w:eastAsia="宋体" w:cs="宋体"/>
      <w:b/>
      <w:bCs/>
      <w:sz w:val="20"/>
      <w:szCs w:val="20"/>
    </w:rPr>
  </w:style>
  <w:style w:type="character" w:customStyle="1" w:styleId="247">
    <w:name w:val="正文文本缩进 3 Char1"/>
    <w:qFormat/>
    <w:uiPriority w:val="0"/>
    <w:rPr>
      <w:rFonts w:ascii="宋体" w:hAnsi="宋体"/>
      <w:kern w:val="2"/>
      <w:sz w:val="28"/>
      <w:szCs w:val="28"/>
    </w:rPr>
  </w:style>
  <w:style w:type="character" w:customStyle="1" w:styleId="248">
    <w:name w:val="Char Char33"/>
    <w:qFormat/>
    <w:uiPriority w:val="0"/>
    <w:rPr>
      <w:rFonts w:ascii="仿宋_GB2312" w:eastAsia="仿宋_GB2312" w:cs="MingLiU"/>
      <w:b/>
      <w:sz w:val="24"/>
      <w:szCs w:val="28"/>
    </w:rPr>
  </w:style>
  <w:style w:type="character" w:customStyle="1" w:styleId="249">
    <w:name w:val="批注文字 Char1"/>
    <w:qFormat/>
    <w:uiPriority w:val="99"/>
    <w:rPr>
      <w:rFonts w:ascii="Times New Roman" w:hAnsi="Times New Roman" w:eastAsia="宋体" w:cs="Times New Roman"/>
      <w:szCs w:val="24"/>
    </w:rPr>
  </w:style>
  <w:style w:type="character" w:customStyle="1" w:styleId="250">
    <w:name w:val="正文文本 3 Char1"/>
    <w:qFormat/>
    <w:uiPriority w:val="0"/>
    <w:rPr>
      <w:kern w:val="2"/>
      <w:sz w:val="16"/>
      <w:szCs w:val="16"/>
    </w:rPr>
  </w:style>
  <w:style w:type="character" w:customStyle="1" w:styleId="251">
    <w:name w:val="页眉 Char"/>
    <w:qFormat/>
    <w:uiPriority w:val="0"/>
    <w:rPr>
      <w:sz w:val="18"/>
      <w:szCs w:val="18"/>
    </w:rPr>
  </w:style>
  <w:style w:type="character" w:customStyle="1" w:styleId="252">
    <w:name w:val="明显引用 Char"/>
    <w:qFormat/>
    <w:uiPriority w:val="0"/>
    <w:rPr>
      <w:rFonts w:ascii="Times New Roman" w:hAnsi="Times New Roman" w:eastAsia="宋体" w:cs="Times New Roman"/>
      <w:b/>
      <w:bCs/>
      <w:i/>
      <w:iCs/>
      <w:color w:val="4F81BD"/>
      <w:kern w:val="2"/>
      <w:sz w:val="21"/>
      <w:szCs w:val="24"/>
    </w:rPr>
  </w:style>
  <w:style w:type="character" w:customStyle="1" w:styleId="253">
    <w:name w:val="color_red1"/>
    <w:qFormat/>
    <w:uiPriority w:val="0"/>
    <w:rPr>
      <w:color w:val="FA0004"/>
    </w:rPr>
  </w:style>
  <w:style w:type="character" w:customStyle="1" w:styleId="254">
    <w:name w:val="批注主题 Char2"/>
    <w:qFormat/>
    <w:uiPriority w:val="99"/>
    <w:rPr>
      <w:b/>
      <w:bCs/>
      <w:kern w:val="2"/>
      <w:sz w:val="21"/>
      <w:szCs w:val="24"/>
    </w:rPr>
  </w:style>
  <w:style w:type="character" w:customStyle="1" w:styleId="255">
    <w:name w:val="Char Char34"/>
    <w:qFormat/>
    <w:uiPriority w:val="0"/>
    <w:rPr>
      <w:rFonts w:ascii="仿宋_GB2312" w:eastAsia="仿宋_GB2312" w:cs="MingLiU"/>
      <w:b/>
      <w:spacing w:val="1"/>
      <w:w w:val="99"/>
      <w:sz w:val="28"/>
      <w:szCs w:val="32"/>
    </w:rPr>
  </w:style>
  <w:style w:type="character" w:customStyle="1" w:styleId="256">
    <w:name w:val="标题 1 Char"/>
    <w:qFormat/>
    <w:uiPriority w:val="0"/>
    <w:rPr>
      <w:rFonts w:ascii="Times New Roman" w:hAnsi="Times New Roman" w:eastAsia="宋体" w:cs="Times New Roman"/>
      <w:b/>
      <w:bCs/>
      <w:kern w:val="44"/>
      <w:sz w:val="44"/>
      <w:szCs w:val="44"/>
    </w:rPr>
  </w:style>
  <w:style w:type="character" w:customStyle="1" w:styleId="257">
    <w:name w:val="docpro"/>
    <w:basedOn w:val="49"/>
    <w:qFormat/>
    <w:uiPriority w:val="0"/>
  </w:style>
  <w:style w:type="character" w:customStyle="1" w:styleId="258">
    <w:name w:val="正文文本 3 Char"/>
    <w:qFormat/>
    <w:uiPriority w:val="0"/>
    <w:rPr>
      <w:kern w:val="2"/>
      <w:sz w:val="16"/>
      <w:szCs w:val="16"/>
    </w:rPr>
  </w:style>
  <w:style w:type="character" w:customStyle="1" w:styleId="259">
    <w:name w:val="标题 5 Char"/>
    <w:qFormat/>
    <w:uiPriority w:val="0"/>
    <w:rPr>
      <w:rFonts w:ascii="Calibri" w:hAnsi="Calibri" w:eastAsia="宋体" w:cs="Times New Roman"/>
      <w:b/>
      <w:bCs/>
      <w:sz w:val="28"/>
      <w:szCs w:val="28"/>
    </w:rPr>
  </w:style>
  <w:style w:type="character" w:customStyle="1" w:styleId="260">
    <w:name w:val="style161"/>
    <w:qFormat/>
    <w:uiPriority w:val="0"/>
    <w:rPr>
      <w:b/>
      <w:bCs/>
      <w:color w:val="333333"/>
    </w:rPr>
  </w:style>
  <w:style w:type="character" w:customStyle="1" w:styleId="261">
    <w:name w:val="文档结构图 Char2"/>
    <w:qFormat/>
    <w:uiPriority w:val="99"/>
    <w:rPr>
      <w:kern w:val="2"/>
      <w:sz w:val="21"/>
      <w:szCs w:val="24"/>
      <w:shd w:val="clear" w:color="auto" w:fill="000080"/>
    </w:rPr>
  </w:style>
  <w:style w:type="character" w:customStyle="1" w:styleId="262">
    <w:name w:val="页脚 Char1"/>
    <w:qFormat/>
    <w:uiPriority w:val="99"/>
    <w:rPr>
      <w:kern w:val="2"/>
      <w:sz w:val="18"/>
      <w:szCs w:val="18"/>
    </w:rPr>
  </w:style>
  <w:style w:type="character" w:customStyle="1" w:styleId="263">
    <w:name w:val="日期 Char2"/>
    <w:qFormat/>
    <w:uiPriority w:val="99"/>
    <w:rPr>
      <w:kern w:val="2"/>
      <w:sz w:val="21"/>
      <w:szCs w:val="24"/>
    </w:rPr>
  </w:style>
  <w:style w:type="character" w:customStyle="1" w:styleId="264">
    <w:name w:val="HTML 预设格式 Char"/>
    <w:qFormat/>
    <w:uiPriority w:val="0"/>
    <w:rPr>
      <w:rFonts w:ascii="宋体" w:hAnsi="宋体" w:eastAsia="宋体" w:cs="宋体"/>
      <w:color w:val="000000"/>
      <w:sz w:val="24"/>
      <w:szCs w:val="24"/>
    </w:rPr>
  </w:style>
  <w:style w:type="character" w:customStyle="1" w:styleId="265">
    <w:name w:val="批注主题 字符"/>
    <w:link w:val="46"/>
    <w:qFormat/>
    <w:uiPriority w:val="0"/>
    <w:rPr>
      <w:rFonts w:eastAsia="宋体"/>
      <w:b/>
      <w:bCs/>
      <w:kern w:val="2"/>
      <w:sz w:val="21"/>
      <w:szCs w:val="24"/>
      <w:lang w:val="en-US" w:eastAsia="zh-CN" w:bidi="ar-SA"/>
    </w:rPr>
  </w:style>
  <w:style w:type="character" w:customStyle="1" w:styleId="266">
    <w:name w:val="正文文本 2 字符"/>
    <w:link w:val="41"/>
    <w:qFormat/>
    <w:uiPriority w:val="0"/>
    <w:rPr>
      <w:i/>
      <w:iCs/>
      <w:kern w:val="2"/>
      <w:sz w:val="26"/>
      <w:szCs w:val="24"/>
    </w:rPr>
  </w:style>
  <w:style w:type="character" w:customStyle="1" w:styleId="267">
    <w:name w:val="批注框文本 Char"/>
    <w:qFormat/>
    <w:uiPriority w:val="0"/>
    <w:rPr>
      <w:sz w:val="18"/>
      <w:szCs w:val="18"/>
    </w:rPr>
  </w:style>
  <w:style w:type="character" w:customStyle="1" w:styleId="268">
    <w:name w:val="文档结构图 Char"/>
    <w:qFormat/>
    <w:uiPriority w:val="0"/>
    <w:rPr>
      <w:rFonts w:ascii="宋体"/>
      <w:kern w:val="2"/>
      <w:sz w:val="18"/>
      <w:szCs w:val="18"/>
    </w:rPr>
  </w:style>
  <w:style w:type="character" w:customStyle="1" w:styleId="269">
    <w:name w:val="标题 8 字符"/>
    <w:link w:val="12"/>
    <w:qFormat/>
    <w:uiPriority w:val="0"/>
    <w:rPr>
      <w:rFonts w:hAnsi="Arial" w:eastAsia="仿宋_GB2312"/>
      <w:sz w:val="30"/>
      <w:lang w:val="en-US" w:eastAsia="zh-CN" w:bidi="ar-SA"/>
    </w:rPr>
  </w:style>
  <w:style w:type="character" w:customStyle="1" w:styleId="270">
    <w:name w:val="正文文本缩进 3 字符"/>
    <w:link w:val="38"/>
    <w:qFormat/>
    <w:uiPriority w:val="0"/>
    <w:rPr>
      <w:rFonts w:ascii="宋体" w:hAnsi="宋体" w:eastAsia="宋体"/>
      <w:kern w:val="2"/>
      <w:sz w:val="28"/>
      <w:szCs w:val="28"/>
      <w:lang w:val="en-US" w:eastAsia="zh-CN" w:bidi="ar-SA"/>
    </w:rPr>
  </w:style>
  <w:style w:type="character" w:customStyle="1" w:styleId="271">
    <w:name w:val="正文文本缩进 字符"/>
    <w:link w:val="3"/>
    <w:qFormat/>
    <w:uiPriority w:val="0"/>
    <w:rPr>
      <w:rFonts w:eastAsia="宋体"/>
      <w:kern w:val="2"/>
      <w:sz w:val="21"/>
      <w:szCs w:val="24"/>
      <w:lang w:val="en-US" w:eastAsia="zh-CN" w:bidi="ar-SA"/>
    </w:rPr>
  </w:style>
  <w:style w:type="character" w:customStyle="1" w:styleId="272">
    <w:name w:val="_Style 196"/>
    <w:qFormat/>
    <w:uiPriority w:val="0"/>
    <w:rPr>
      <w:i/>
      <w:iCs/>
      <w:color w:val="808080"/>
    </w:rPr>
  </w:style>
  <w:style w:type="character" w:customStyle="1" w:styleId="273">
    <w:name w:val="正文文本缩进 2 字符"/>
    <w:link w:val="28"/>
    <w:qFormat/>
    <w:uiPriority w:val="0"/>
    <w:rPr>
      <w:rFonts w:eastAsia="宋体"/>
      <w:sz w:val="28"/>
      <w:szCs w:val="24"/>
      <w:lang w:val="en-US" w:eastAsia="zh-CN" w:bidi="ar-SA"/>
    </w:rPr>
  </w:style>
  <w:style w:type="character" w:customStyle="1" w:styleId="274">
    <w:name w:val="标题 7 字符"/>
    <w:link w:val="11"/>
    <w:qFormat/>
    <w:uiPriority w:val="0"/>
    <w:rPr>
      <w:rFonts w:eastAsia="仿宋_GB2312"/>
      <w:sz w:val="30"/>
      <w:lang w:val="en-US" w:eastAsia="zh-CN" w:bidi="ar-SA"/>
    </w:rPr>
  </w:style>
  <w:style w:type="character" w:customStyle="1" w:styleId="275">
    <w:name w:val="Char Char13"/>
    <w:qFormat/>
    <w:uiPriority w:val="0"/>
    <w:rPr>
      <w:kern w:val="2"/>
      <w:sz w:val="18"/>
      <w:szCs w:val="18"/>
    </w:rPr>
  </w:style>
  <w:style w:type="character" w:customStyle="1" w:styleId="276">
    <w:name w:val="正文文本缩进 2 Char1"/>
    <w:qFormat/>
    <w:uiPriority w:val="0"/>
    <w:rPr>
      <w:sz w:val="28"/>
      <w:szCs w:val="24"/>
    </w:rPr>
  </w:style>
  <w:style w:type="character" w:customStyle="1" w:styleId="277">
    <w:name w:val="Char Char21"/>
    <w:qFormat/>
    <w:uiPriority w:val="0"/>
    <w:rPr>
      <w:rFonts w:ascii="宋体" w:hAnsi="宋体" w:cs="宋体"/>
      <w:b/>
      <w:bCs/>
      <w:sz w:val="24"/>
      <w:szCs w:val="24"/>
    </w:rPr>
  </w:style>
  <w:style w:type="character" w:customStyle="1" w:styleId="278">
    <w:name w:val="文档结构图 Char1"/>
    <w:qFormat/>
    <w:uiPriority w:val="0"/>
    <w:rPr>
      <w:rFonts w:ascii="宋体"/>
      <w:kern w:val="2"/>
      <w:sz w:val="18"/>
      <w:szCs w:val="18"/>
    </w:rPr>
  </w:style>
  <w:style w:type="character" w:customStyle="1" w:styleId="279">
    <w:name w:val="标题 Char"/>
    <w:qFormat/>
    <w:uiPriority w:val="0"/>
    <w:rPr>
      <w:rFonts w:ascii="Cambria" w:hAnsi="Cambria" w:eastAsia="宋体" w:cs="Times New Roman"/>
      <w:b/>
      <w:bCs/>
      <w:kern w:val="2"/>
      <w:sz w:val="32"/>
      <w:szCs w:val="32"/>
    </w:rPr>
  </w:style>
  <w:style w:type="character" w:customStyle="1" w:styleId="280">
    <w:name w:val="_Style 275"/>
    <w:qFormat/>
    <w:uiPriority w:val="0"/>
    <w:rPr>
      <w:smallCaps/>
      <w:color w:val="C0504D"/>
      <w:u w:val="single"/>
    </w:rPr>
  </w:style>
  <w:style w:type="character" w:customStyle="1" w:styleId="281">
    <w:name w:val="Char Char12"/>
    <w:qFormat/>
    <w:uiPriority w:val="0"/>
    <w:rPr>
      <w:rFonts w:eastAsia="黑体"/>
      <w:kern w:val="2"/>
      <w:sz w:val="44"/>
      <w:szCs w:val="44"/>
      <w:lang w:val="en-US" w:eastAsia="zh-CN" w:bidi="ar-SA"/>
    </w:rPr>
  </w:style>
  <w:style w:type="character" w:customStyle="1" w:styleId="282">
    <w:name w:val="明显参考1"/>
    <w:qFormat/>
    <w:uiPriority w:val="0"/>
    <w:rPr>
      <w:b/>
      <w:bCs/>
      <w:smallCaps/>
      <w:color w:val="C0504D"/>
      <w:spacing w:val="5"/>
      <w:u w:val="single"/>
    </w:rPr>
  </w:style>
  <w:style w:type="character" w:customStyle="1" w:styleId="283">
    <w:name w:val="Char Char36"/>
    <w:qFormat/>
    <w:uiPriority w:val="0"/>
    <w:rPr>
      <w:rFonts w:ascii="仿宋_GB2312" w:eastAsia="仿宋_GB2312" w:cs="MingLiU"/>
      <w:b/>
      <w:sz w:val="24"/>
      <w:szCs w:val="28"/>
    </w:rPr>
  </w:style>
  <w:style w:type="character" w:customStyle="1" w:styleId="284">
    <w:name w:val="批注框文本 Char2"/>
    <w:qFormat/>
    <w:uiPriority w:val="99"/>
    <w:rPr>
      <w:kern w:val="2"/>
      <w:sz w:val="18"/>
      <w:szCs w:val="18"/>
    </w:rPr>
  </w:style>
  <w:style w:type="character" w:customStyle="1" w:styleId="285">
    <w:name w:val="subhead1"/>
    <w:qFormat/>
    <w:uiPriority w:val="0"/>
    <w:rPr>
      <w:rFonts w:hint="default" w:ascii="Tahoma" w:hAnsi="Tahoma" w:cs="Tahoma"/>
      <w:color w:val="000000"/>
      <w:sz w:val="18"/>
      <w:szCs w:val="18"/>
      <w:u w:val="none"/>
      <w:shd w:val="clear" w:color="auto" w:fill="FFFFFF"/>
    </w:rPr>
  </w:style>
  <w:style w:type="character" w:customStyle="1" w:styleId="286">
    <w:name w:val="正文文本缩进 3 Char2"/>
    <w:qFormat/>
    <w:uiPriority w:val="99"/>
    <w:rPr>
      <w:rFonts w:ascii="Calibri" w:hAnsi="Calibri" w:eastAsia="宋体" w:cs="Times New Roman"/>
      <w:sz w:val="16"/>
      <w:szCs w:val="16"/>
    </w:rPr>
  </w:style>
  <w:style w:type="character" w:customStyle="1" w:styleId="287">
    <w:name w:val="纯文本 Char"/>
    <w:qFormat/>
    <w:uiPriority w:val="0"/>
    <w:rPr>
      <w:rFonts w:ascii="宋体" w:hAnsi="Courier New"/>
      <w:sz w:val="28"/>
      <w:szCs w:val="28"/>
    </w:rPr>
  </w:style>
  <w:style w:type="character" w:customStyle="1" w:styleId="288">
    <w:name w:val="纯文本 Char2"/>
    <w:qFormat/>
    <w:uiPriority w:val="99"/>
    <w:rPr>
      <w:rFonts w:ascii="宋体" w:hAnsi="Courier New" w:eastAsia="宋体" w:cs="Courier New"/>
      <w:szCs w:val="21"/>
    </w:rPr>
  </w:style>
  <w:style w:type="character" w:customStyle="1" w:styleId="289">
    <w:name w:val="页眉 Char1"/>
    <w:qFormat/>
    <w:uiPriority w:val="99"/>
    <w:rPr>
      <w:kern w:val="2"/>
      <w:sz w:val="18"/>
      <w:szCs w:val="18"/>
    </w:rPr>
  </w:style>
  <w:style w:type="character" w:customStyle="1" w:styleId="290">
    <w:name w:val="Char Char14"/>
    <w:qFormat/>
    <w:uiPriority w:val="0"/>
    <w:rPr>
      <w:kern w:val="2"/>
      <w:sz w:val="18"/>
      <w:szCs w:val="18"/>
    </w:rPr>
  </w:style>
  <w:style w:type="character" w:customStyle="1" w:styleId="291">
    <w:name w:val="批注文字 字符"/>
    <w:link w:val="18"/>
    <w:qFormat/>
    <w:uiPriority w:val="99"/>
    <w:rPr>
      <w:rFonts w:eastAsia="宋体"/>
      <w:kern w:val="2"/>
      <w:sz w:val="21"/>
      <w:szCs w:val="24"/>
      <w:lang w:val="en-US" w:eastAsia="zh-CN" w:bidi="ar-SA"/>
    </w:rPr>
  </w:style>
  <w:style w:type="character" w:customStyle="1" w:styleId="292">
    <w:name w:val="批注文字 Char Char"/>
    <w:qFormat/>
    <w:uiPriority w:val="0"/>
    <w:rPr>
      <w:rFonts w:ascii="宋体" w:hAnsi="Times New Roman" w:eastAsia="宋体" w:cs="Times New Roman"/>
      <w:sz w:val="28"/>
      <w:szCs w:val="20"/>
    </w:rPr>
  </w:style>
  <w:style w:type="character" w:customStyle="1" w:styleId="293">
    <w:name w:val="标题 1 Char1"/>
    <w:qFormat/>
    <w:uiPriority w:val="0"/>
    <w:rPr>
      <w:rFonts w:ascii="Times New Roman" w:hAnsi="Times New Roman" w:eastAsia="宋体" w:cs="Times New Roman"/>
      <w:b/>
      <w:bCs/>
      <w:kern w:val="44"/>
      <w:sz w:val="44"/>
      <w:szCs w:val="44"/>
    </w:rPr>
  </w:style>
  <w:style w:type="character" w:customStyle="1" w:styleId="294">
    <w:name w:val="标题 5 字符"/>
    <w:link w:val="8"/>
    <w:qFormat/>
    <w:uiPriority w:val="0"/>
    <w:rPr>
      <w:rFonts w:ascii="宋体" w:hAnsi="宋体" w:eastAsia="宋体" w:cs="宋体"/>
      <w:b/>
      <w:bCs/>
      <w:lang w:val="en-US" w:eastAsia="zh-CN" w:bidi="ar-SA"/>
    </w:rPr>
  </w:style>
  <w:style w:type="character" w:customStyle="1" w:styleId="295">
    <w:name w:val="手改 Char Char"/>
    <w:qFormat/>
    <w:uiPriority w:val="0"/>
    <w:rPr>
      <w:kern w:val="2"/>
      <w:sz w:val="21"/>
      <w:szCs w:val="24"/>
    </w:rPr>
  </w:style>
  <w:style w:type="character" w:customStyle="1" w:styleId="296">
    <w:name w:val="标题 1 字符"/>
    <w:link w:val="4"/>
    <w:qFormat/>
    <w:uiPriority w:val="0"/>
    <w:rPr>
      <w:rFonts w:eastAsia="宋体"/>
      <w:b/>
      <w:bCs/>
      <w:kern w:val="44"/>
      <w:sz w:val="44"/>
      <w:szCs w:val="44"/>
      <w:lang w:val="en-US" w:eastAsia="zh-CN" w:bidi="ar-SA"/>
    </w:rPr>
  </w:style>
  <w:style w:type="character" w:customStyle="1" w:styleId="297">
    <w:name w:val="intel3"/>
    <w:basedOn w:val="49"/>
    <w:qFormat/>
    <w:uiPriority w:val="0"/>
  </w:style>
  <w:style w:type="character" w:customStyle="1" w:styleId="298">
    <w:name w:val="副标题 Char2"/>
    <w:qFormat/>
    <w:uiPriority w:val="11"/>
    <w:rPr>
      <w:rFonts w:ascii="Cambria" w:hAnsi="Cambria" w:eastAsia="宋体" w:cs="Times New Roman"/>
      <w:b/>
      <w:bCs/>
      <w:kern w:val="28"/>
      <w:sz w:val="32"/>
      <w:szCs w:val="32"/>
    </w:rPr>
  </w:style>
  <w:style w:type="character" w:customStyle="1" w:styleId="299">
    <w:name w:val="明显引用 Char4"/>
    <w:link w:val="120"/>
    <w:qFormat/>
    <w:uiPriority w:val="0"/>
    <w:rPr>
      <w:b/>
      <w:bCs/>
      <w:i/>
      <w:iCs/>
      <w:color w:val="4F81BD"/>
      <w:kern w:val="2"/>
      <w:sz w:val="21"/>
      <w:szCs w:val="22"/>
      <w:lang w:bidi="ar-SA"/>
    </w:rPr>
  </w:style>
  <w:style w:type="character" w:customStyle="1" w:styleId="300">
    <w:name w:val="明显引用 Char1"/>
    <w:link w:val="113"/>
    <w:qFormat/>
    <w:uiPriority w:val="30"/>
    <w:rPr>
      <w:b/>
      <w:bCs/>
      <w:i/>
      <w:iCs/>
      <w:color w:val="4F81BD"/>
      <w:kern w:val="2"/>
      <w:sz w:val="21"/>
    </w:rPr>
  </w:style>
  <w:style w:type="character" w:customStyle="1" w:styleId="301">
    <w:name w:val="HTML 预设格式 Char1"/>
    <w:qFormat/>
    <w:uiPriority w:val="0"/>
    <w:rPr>
      <w:rFonts w:ascii="宋体" w:hAnsi="宋体" w:cs="宋体"/>
      <w:color w:val="000000"/>
      <w:sz w:val="24"/>
      <w:szCs w:val="24"/>
    </w:rPr>
  </w:style>
  <w:style w:type="character" w:customStyle="1" w:styleId="302">
    <w:name w:val="引用 Char"/>
    <w:link w:val="71"/>
    <w:qFormat/>
    <w:uiPriority w:val="0"/>
    <w:rPr>
      <w:rFonts w:ascii="Times New Roman" w:hAnsi="Times New Roman" w:eastAsia="宋体" w:cs="Times New Roman"/>
      <w:i/>
      <w:iCs/>
      <w:color w:val="000000"/>
      <w:kern w:val="2"/>
      <w:sz w:val="21"/>
      <w:szCs w:val="24"/>
    </w:rPr>
  </w:style>
  <w:style w:type="character" w:customStyle="1" w:styleId="303">
    <w:name w:val="副标题 字符"/>
    <w:link w:val="35"/>
    <w:qFormat/>
    <w:uiPriority w:val="0"/>
    <w:rPr>
      <w:rFonts w:eastAsia="宋体"/>
      <w:szCs w:val="24"/>
      <w:u w:val="single"/>
      <w:lang w:val="en-US" w:eastAsia="en-US" w:bidi="ar-SA"/>
    </w:rPr>
  </w:style>
  <w:style w:type="character" w:customStyle="1" w:styleId="304">
    <w:name w:val="ITTHEADER1 Char"/>
    <w:qFormat/>
    <w:uiPriority w:val="0"/>
    <w:rPr>
      <w:rFonts w:eastAsia="黑体"/>
      <w:kern w:val="2"/>
      <w:sz w:val="44"/>
      <w:szCs w:val="44"/>
      <w:lang w:val="en-US" w:eastAsia="zh-CN" w:bidi="ar-SA"/>
    </w:rPr>
  </w:style>
  <w:style w:type="character" w:customStyle="1" w:styleId="305">
    <w:name w:val="日期 Char3"/>
    <w:qFormat/>
    <w:uiPriority w:val="99"/>
    <w:rPr>
      <w:rFonts w:ascii="Calibri" w:hAnsi="Calibri" w:eastAsia="宋体" w:cs="Times New Roman"/>
      <w:szCs w:val="24"/>
    </w:rPr>
  </w:style>
  <w:style w:type="character" w:customStyle="1" w:styleId="306">
    <w:name w:val="纯文本 字符"/>
    <w:link w:val="25"/>
    <w:qFormat/>
    <w:uiPriority w:val="0"/>
    <w:rPr>
      <w:rFonts w:ascii="宋体" w:hAnsi="Courier New" w:eastAsia="宋体" w:cs="Courier New"/>
      <w:kern w:val="2"/>
      <w:sz w:val="21"/>
      <w:szCs w:val="21"/>
      <w:lang w:val="en-US" w:eastAsia="zh-CN" w:bidi="ar-SA"/>
    </w:rPr>
  </w:style>
  <w:style w:type="character" w:customStyle="1" w:styleId="307">
    <w:name w:val="批注文字 Char"/>
    <w:qFormat/>
    <w:uiPriority w:val="0"/>
    <w:rPr>
      <w:rFonts w:ascii="Times New Roman" w:hAnsi="Times New Roman" w:eastAsia="宋体" w:cs="Times New Roman"/>
      <w:kern w:val="2"/>
      <w:sz w:val="21"/>
      <w:szCs w:val="24"/>
    </w:rPr>
  </w:style>
  <w:style w:type="character" w:customStyle="1" w:styleId="308">
    <w:name w:val="Section Char"/>
    <w:qFormat/>
    <w:uiPriority w:val="0"/>
    <w:rPr>
      <w:rFonts w:ascii="仿宋_GB2312" w:eastAsia="仿宋_GB2312" w:cs="MingLiU"/>
      <w:b/>
      <w:sz w:val="24"/>
      <w:szCs w:val="28"/>
      <w:lang w:val="en-US" w:eastAsia="zh-CN" w:bidi="ar-SA"/>
    </w:rPr>
  </w:style>
  <w:style w:type="character" w:customStyle="1" w:styleId="309">
    <w:name w:val="正文文本 3 Char2"/>
    <w:qFormat/>
    <w:uiPriority w:val="99"/>
    <w:rPr>
      <w:rFonts w:ascii="Calibri" w:hAnsi="Calibri" w:eastAsia="宋体" w:cs="Times New Roman"/>
      <w:sz w:val="16"/>
      <w:szCs w:val="16"/>
    </w:rPr>
  </w:style>
  <w:style w:type="character" w:customStyle="1" w:styleId="310">
    <w:name w:val="正文文本 3 字符"/>
    <w:link w:val="19"/>
    <w:qFormat/>
    <w:uiPriority w:val="0"/>
    <w:rPr>
      <w:rFonts w:eastAsia="宋体"/>
      <w:kern w:val="2"/>
      <w:sz w:val="16"/>
      <w:szCs w:val="16"/>
      <w:lang w:val="en-US" w:eastAsia="zh-CN" w:bidi="ar-SA"/>
    </w:rPr>
  </w:style>
  <w:style w:type="character" w:customStyle="1" w:styleId="311">
    <w:name w:val="普通文字 Char Char1"/>
    <w:qFormat/>
    <w:uiPriority w:val="0"/>
    <w:rPr>
      <w:rFonts w:ascii="宋体" w:hAnsi="Courier New"/>
      <w:kern w:val="2"/>
      <w:sz w:val="28"/>
      <w:szCs w:val="28"/>
    </w:rPr>
  </w:style>
  <w:style w:type="character" w:customStyle="1" w:styleId="312">
    <w:name w:val="正文文本缩进 Char"/>
    <w:qFormat/>
    <w:uiPriority w:val="0"/>
    <w:rPr>
      <w:rFonts w:ascii="黑体" w:hAnsi="宋体" w:eastAsia="黑体"/>
      <w:color w:val="000000"/>
      <w:sz w:val="28"/>
      <w:szCs w:val="32"/>
    </w:rPr>
  </w:style>
  <w:style w:type="character" w:customStyle="1" w:styleId="313">
    <w:name w:val="font161"/>
    <w:qFormat/>
    <w:uiPriority w:val="0"/>
    <w:rPr>
      <w:b/>
      <w:bCs/>
      <w:sz w:val="32"/>
      <w:szCs w:val="32"/>
    </w:rPr>
  </w:style>
  <w:style w:type="paragraph" w:customStyle="1" w:styleId="314">
    <w:name w:val="List Paragraph_2053445d-0ea7-4fc6-805c-24e9551bff14"/>
    <w:basedOn w:val="1"/>
    <w:qFormat/>
    <w:uiPriority w:val="99"/>
    <w:pPr>
      <w:ind w:firstLine="420" w:firstLineChars="200"/>
    </w:pPr>
    <w:rPr>
      <w:sz w:val="28"/>
      <w:szCs w:val="28"/>
    </w:rPr>
  </w:style>
  <w:style w:type="paragraph" w:customStyle="1" w:styleId="315">
    <w:name w:val="Revision_be56d849-df43-460f-89c6-231392157f72"/>
    <w:qFormat/>
    <w:uiPriority w:val="99"/>
    <w:rPr>
      <w:rFonts w:ascii="Times New Roman" w:hAnsi="Times New Roman" w:eastAsia="宋体" w:cs="Times New Roman"/>
      <w:kern w:val="2"/>
      <w:sz w:val="21"/>
      <w:szCs w:val="24"/>
      <w:lang w:val="en-US" w:eastAsia="zh-CN" w:bidi="ar-SA"/>
    </w:rPr>
  </w:style>
  <w:style w:type="table" w:customStyle="1" w:styleId="316">
    <w:name w:val="Table Normal"/>
    <w:semiHidden/>
    <w:unhideWhenUsed/>
    <w:qFormat/>
    <w:uiPriority w:val="0"/>
    <w:tblPr>
      <w:tblCellMar>
        <w:top w:w="0" w:type="dxa"/>
        <w:left w:w="0" w:type="dxa"/>
        <w:bottom w:w="0" w:type="dxa"/>
        <w:right w:w="0" w:type="dxa"/>
      </w:tblCellMar>
    </w:tblPr>
  </w:style>
  <w:style w:type="paragraph" w:customStyle="1" w:styleId="317">
    <w:name w:val="p3"/>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16653</Words>
  <Characters>18091</Characters>
  <Paragraphs>4432</Paragraphs>
  <TotalTime>2</TotalTime>
  <ScaleCrop>false</ScaleCrop>
  <LinksUpToDate>false</LinksUpToDate>
  <CharactersWithSpaces>18673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2023-02-19T06:02:00Z</cp:lastPrinted>
  <dcterms:modified xsi:type="dcterms:W3CDTF">2025-02-06T02:56:08Z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8BE05A0AE1E34FA392957DFED3B2D992_13</vt:lpwstr>
  </property>
  <property fmtid="{D5CDD505-2E9C-101B-9397-08002B2CF9AE}" pid="4" name="KSOTemplateDocerSaveRecord">
    <vt:lpwstr>eyJoZGlkIjoiOWUxOGExZTU2YmJjNDk4YzM0OWNmNDE4YjNmNmJhMDIiLCJ1c2VySWQiOiIxMTMyNDk2OTU3In0=</vt:lpwstr>
  </property>
</Properties>
</file>